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4103" w:rsidRDefault="00E52771" w:rsidP="00E16F4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442D">
        <w:rPr>
          <w:rFonts w:ascii="Times New Roman" w:hAnsi="Times New Roman" w:cs="Times New Roman"/>
          <w:b/>
          <w:sz w:val="24"/>
          <w:szCs w:val="24"/>
          <w:u w:val="single"/>
        </w:rPr>
        <w:t>Consigna asignada</w:t>
      </w:r>
      <w:r w:rsidRPr="00D1442D">
        <w:rPr>
          <w:rFonts w:ascii="Times New Roman" w:hAnsi="Times New Roman" w:cs="Times New Roman"/>
          <w:sz w:val="24"/>
          <w:szCs w:val="24"/>
        </w:rPr>
        <w:t>:</w:t>
      </w:r>
    </w:p>
    <w:p w:rsidR="00E52771" w:rsidRPr="00D1442D" w:rsidRDefault="00E52771" w:rsidP="00E16F4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D1442D">
        <w:rPr>
          <w:rFonts w:ascii="Times New Roman" w:hAnsi="Times New Roman" w:cs="Times New Roman"/>
          <w:sz w:val="24"/>
          <w:szCs w:val="24"/>
        </w:rPr>
        <w:t xml:space="preserve"> Investigar en el </w:t>
      </w:r>
      <w:r w:rsidR="0055333F" w:rsidRPr="00D1442D">
        <w:rPr>
          <w:rFonts w:ascii="Times New Roman" w:hAnsi="Times New Roman" w:cs="Times New Roman"/>
          <w:sz w:val="24"/>
          <w:szCs w:val="24"/>
        </w:rPr>
        <w:t>último</w:t>
      </w:r>
      <w:r w:rsidRPr="00D1442D">
        <w:rPr>
          <w:rFonts w:ascii="Times New Roman" w:hAnsi="Times New Roman" w:cs="Times New Roman"/>
          <w:sz w:val="24"/>
          <w:szCs w:val="24"/>
        </w:rPr>
        <w:t xml:space="preserve"> Presupuesto aprobado de </w:t>
      </w:r>
      <w:r w:rsidR="0055333F" w:rsidRPr="00D1442D">
        <w:rPr>
          <w:rFonts w:ascii="Times New Roman" w:hAnsi="Times New Roman" w:cs="Times New Roman"/>
          <w:sz w:val="24"/>
          <w:szCs w:val="24"/>
        </w:rPr>
        <w:t>Nación</w:t>
      </w:r>
      <w:r w:rsidRPr="00D1442D">
        <w:rPr>
          <w:rFonts w:ascii="Times New Roman" w:hAnsi="Times New Roman" w:cs="Times New Roman"/>
          <w:sz w:val="24"/>
          <w:szCs w:val="24"/>
        </w:rPr>
        <w:t xml:space="preserve"> las fechas en que fue elevado el Proyecto al Congreso</w:t>
      </w:r>
      <w:r w:rsidR="0055333F" w:rsidRPr="00D1442D">
        <w:rPr>
          <w:rFonts w:ascii="Times New Roman" w:hAnsi="Times New Roman" w:cs="Times New Roman"/>
          <w:sz w:val="24"/>
          <w:szCs w:val="24"/>
        </w:rPr>
        <w:t xml:space="preserve">. Cuando fue aprobado por este y si sufrió modificaciones en alguna de las cámaras. En este caso ¿cuáles fueron? </w:t>
      </w:r>
    </w:p>
    <w:p w:rsidR="000E4B82" w:rsidRPr="00D1442D" w:rsidRDefault="00C131B7" w:rsidP="00E16F4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442D">
        <w:rPr>
          <w:rFonts w:ascii="Times New Roman" w:hAnsi="Times New Roman" w:cs="Times New Roman"/>
          <w:sz w:val="24"/>
          <w:szCs w:val="24"/>
        </w:rPr>
        <w:t>El último presupuesto aprobado fue el del año 2.019, fue elevado por el poder ejecutivo al congreso en el mes de septiembre del año 2.018, y fue aprobado el 15 de noviembre por el congreso a través de la Ley N° 27.467 y fue promulgada por el poder ejecutivo son observaciones mediante el decreto N° 1.024 el 4 de diciembre del año 2.018.</w:t>
      </w:r>
    </w:p>
    <w:p w:rsidR="00C131B7" w:rsidRPr="00D1442D" w:rsidRDefault="00C131B7" w:rsidP="00E16F4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442D">
        <w:rPr>
          <w:rFonts w:ascii="Times New Roman" w:hAnsi="Times New Roman" w:cs="Times New Roman"/>
          <w:sz w:val="24"/>
          <w:szCs w:val="24"/>
        </w:rPr>
        <w:t>El Poder legislativo, específicamente la Cámara de Diputados introdujo modificaciones en el Presupuesto del año 2.019 y ellas son las siguientes:</w:t>
      </w:r>
    </w:p>
    <w:p w:rsidR="00E16F4A" w:rsidRPr="00D1442D" w:rsidRDefault="00C131B7" w:rsidP="00E16F4A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442D">
        <w:rPr>
          <w:rFonts w:ascii="Times New Roman" w:hAnsi="Times New Roman" w:cs="Times New Roman"/>
          <w:sz w:val="24"/>
          <w:szCs w:val="24"/>
        </w:rPr>
        <w:t xml:space="preserve">Incorporación de un "fondo compensador" a municipios por la quita de subsidios al transporte urbano de pasajeros: 6.500 millones de pesos adicionales para amortiguar parcialmente el traspaso de la política de subsidios a las jurisdicciones locales, tras la quita de recursos por 43.000 millones de pesos. </w:t>
      </w:r>
    </w:p>
    <w:p w:rsidR="00E16F4A" w:rsidRPr="00D1442D" w:rsidRDefault="00C131B7" w:rsidP="00E16F4A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442D">
        <w:rPr>
          <w:rFonts w:ascii="Times New Roman" w:hAnsi="Times New Roman" w:cs="Times New Roman"/>
          <w:sz w:val="24"/>
          <w:szCs w:val="24"/>
        </w:rPr>
        <w:t xml:space="preserve">Pensión Universal para el Adulto Mayor (PUAM): El Gobierno pretendía restringir las condiciones de acceso a esa prestación (equivalente al 80% de una jubilación mínima), impidiendo que los beneficiarios puedan al mismo tiempo trabajar. El oficialismo dejó sin efecto la medida, y los beneficiarios de la PUAM podrán tener ingresos extra a través del </w:t>
      </w:r>
      <w:proofErr w:type="spellStart"/>
      <w:r w:rsidRPr="00D1442D">
        <w:rPr>
          <w:rFonts w:ascii="Times New Roman" w:hAnsi="Times New Roman" w:cs="Times New Roman"/>
          <w:sz w:val="24"/>
          <w:szCs w:val="24"/>
        </w:rPr>
        <w:t>monotributo</w:t>
      </w:r>
      <w:proofErr w:type="spellEnd"/>
      <w:r w:rsidRPr="00D1442D">
        <w:rPr>
          <w:rFonts w:ascii="Times New Roman" w:hAnsi="Times New Roman" w:cs="Times New Roman"/>
          <w:sz w:val="24"/>
          <w:szCs w:val="24"/>
        </w:rPr>
        <w:t xml:space="preserve"> social, de manera tal de seguir haciendo aportes a la seguridad social hasta completar la cantidad de años exigidos para acceder a una jubilación ordinaria. </w:t>
      </w:r>
    </w:p>
    <w:p w:rsidR="00E16F4A" w:rsidRPr="00D1442D" w:rsidRDefault="00C131B7" w:rsidP="00E16F4A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442D">
        <w:rPr>
          <w:rFonts w:ascii="Times New Roman" w:hAnsi="Times New Roman" w:cs="Times New Roman"/>
          <w:sz w:val="24"/>
          <w:szCs w:val="24"/>
        </w:rPr>
        <w:t xml:space="preserve">Supresión artículo 53 sobre reestructuración de deuda: era un artículo muy resistido por la oposición, ya que preveía otorgarle a la secretaría de Finanzas atribuciones para realizar canjes a condiciones de mercado sin autorización parlamentaria. </w:t>
      </w:r>
    </w:p>
    <w:p w:rsidR="00E16F4A" w:rsidRPr="00D1442D" w:rsidRDefault="00C131B7" w:rsidP="00E16F4A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442D">
        <w:rPr>
          <w:rFonts w:ascii="Times New Roman" w:hAnsi="Times New Roman" w:cs="Times New Roman"/>
          <w:sz w:val="24"/>
          <w:szCs w:val="24"/>
        </w:rPr>
        <w:t xml:space="preserve">Exención definitiva de los impuestos a los vinos espumantes. </w:t>
      </w:r>
    </w:p>
    <w:p w:rsidR="00E16F4A" w:rsidRPr="00D1442D" w:rsidRDefault="00C131B7" w:rsidP="00E16F4A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442D">
        <w:rPr>
          <w:rFonts w:ascii="Times New Roman" w:hAnsi="Times New Roman" w:cs="Times New Roman"/>
          <w:sz w:val="24"/>
          <w:szCs w:val="24"/>
        </w:rPr>
        <w:t xml:space="preserve">Partidas extra: se destinaron refuerzos presupuestarios para el Conicet (500 millones de pesos), INTA (500 millones), Secretaría de Cultura (500 millones), </w:t>
      </w:r>
      <w:proofErr w:type="spellStart"/>
      <w:r w:rsidRPr="00D1442D">
        <w:rPr>
          <w:rFonts w:ascii="Times New Roman" w:hAnsi="Times New Roman" w:cs="Times New Roman"/>
          <w:sz w:val="24"/>
          <w:szCs w:val="24"/>
        </w:rPr>
        <w:t>Sedronar</w:t>
      </w:r>
      <w:proofErr w:type="spellEnd"/>
      <w:r w:rsidRPr="00D1442D">
        <w:rPr>
          <w:rFonts w:ascii="Times New Roman" w:hAnsi="Times New Roman" w:cs="Times New Roman"/>
          <w:sz w:val="24"/>
          <w:szCs w:val="24"/>
        </w:rPr>
        <w:t xml:space="preserve"> (100 millones), y Plan de Lucha contra la Violencia de Género (30 millones adicionales).</w:t>
      </w:r>
    </w:p>
    <w:p w:rsidR="00E16F4A" w:rsidRPr="00D1442D" w:rsidRDefault="00C131B7" w:rsidP="00E16F4A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442D">
        <w:rPr>
          <w:rFonts w:ascii="Times New Roman" w:hAnsi="Times New Roman" w:cs="Times New Roman"/>
          <w:sz w:val="24"/>
          <w:szCs w:val="24"/>
        </w:rPr>
        <w:lastRenderedPageBreak/>
        <w:t xml:space="preserve"> Retenciones: Reducción del 33 al 30% del tope de derechos de exportación a la soja; se mantiene el 12% para el resto de los productos. El plazo se mantiene hasta el 31 de diciembre del 2020. </w:t>
      </w:r>
    </w:p>
    <w:p w:rsidR="00E16F4A" w:rsidRPr="00D1442D" w:rsidRDefault="00C131B7" w:rsidP="00E16F4A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442D">
        <w:rPr>
          <w:rFonts w:ascii="Times New Roman" w:hAnsi="Times New Roman" w:cs="Times New Roman"/>
          <w:sz w:val="24"/>
          <w:szCs w:val="24"/>
        </w:rPr>
        <w:t xml:space="preserve">Plus patagónico: hace dos semanas, el oficialismo había aceptado eliminar del proyecto el recorte en el plus que cobran jubilados, pensionados y beneficiarios de asignaciones familiares en la Patagonia por zona desfavorable. El plus es del 20% en jubilaciones y pensiones, y un 10% en asignaciones. </w:t>
      </w:r>
    </w:p>
    <w:p w:rsidR="00C131B7" w:rsidRPr="00D1442D" w:rsidRDefault="00C131B7" w:rsidP="00E16F4A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442D">
        <w:rPr>
          <w:rFonts w:ascii="Times New Roman" w:hAnsi="Times New Roman" w:cs="Times New Roman"/>
          <w:sz w:val="24"/>
          <w:szCs w:val="24"/>
        </w:rPr>
        <w:t xml:space="preserve">Ganancias: Como se anunció dos semanas atrás, se mantienen las exenciones especiales que los empleados públicos del Poder Ejecutivo podían realizar por distintos ítems en varias provincias. </w:t>
      </w:r>
    </w:p>
    <w:sectPr w:rsidR="00C131B7" w:rsidRPr="00D1442D" w:rsidSect="003901DD">
      <w:headerReference w:type="default" r:id="rId7"/>
      <w:headerReference w:type="first" r:id="rId8"/>
      <w:pgSz w:w="11906" w:h="16838" w:code="9"/>
      <w:pgMar w:top="1417" w:right="1701" w:bottom="1417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5319C" w:rsidRDefault="00E5319C" w:rsidP="003901DD">
      <w:pPr>
        <w:spacing w:after="0" w:line="240" w:lineRule="auto"/>
      </w:pPr>
      <w:r>
        <w:separator/>
      </w:r>
    </w:p>
  </w:endnote>
  <w:endnote w:type="continuationSeparator" w:id="0">
    <w:p w:rsidR="00E5319C" w:rsidRDefault="00E5319C" w:rsidP="003901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5319C" w:rsidRDefault="00E5319C" w:rsidP="003901DD">
      <w:pPr>
        <w:spacing w:after="0" w:line="240" w:lineRule="auto"/>
      </w:pPr>
      <w:r>
        <w:separator/>
      </w:r>
    </w:p>
  </w:footnote>
  <w:footnote w:type="continuationSeparator" w:id="0">
    <w:p w:rsidR="00E5319C" w:rsidRDefault="00E5319C" w:rsidP="003901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01DD" w:rsidRDefault="003901DD" w:rsidP="003901DD">
    <w:pPr>
      <w:pStyle w:val="Encabezado"/>
      <w:ind w:firstLine="708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746D" w:rsidRDefault="005A746D">
    <w:pPr>
      <w:pStyle w:val="Encabezado"/>
      <w:rPr>
        <w:rFonts w:ascii="Times New Roman" w:hAnsi="Times New Roman" w:cs="Times New Roman"/>
      </w:rPr>
    </w:pPr>
  </w:p>
  <w:p w:rsidR="003901DD" w:rsidRPr="00D1442D" w:rsidRDefault="003901DD">
    <w:pPr>
      <w:pStyle w:val="Encabezado"/>
      <w:rPr>
        <w:rFonts w:ascii="Times New Roman" w:hAnsi="Times New Roman" w:cs="Times New Roman"/>
      </w:rPr>
    </w:pPr>
    <w:r w:rsidRPr="00D1442D">
      <w:rPr>
        <w:rFonts w:ascii="Times New Roman" w:hAnsi="Times New Roman" w:cs="Times New Roman"/>
      </w:rPr>
      <w:t>Grupo</w:t>
    </w:r>
    <w:r w:rsidR="00D1442D" w:rsidRPr="00D1442D">
      <w:rPr>
        <w:rFonts w:ascii="Times New Roman" w:hAnsi="Times New Roman" w:cs="Times New Roman"/>
      </w:rPr>
      <w:t xml:space="preserve"> N°</w:t>
    </w:r>
    <w:r w:rsidRPr="00D1442D">
      <w:rPr>
        <w:rFonts w:ascii="Times New Roman" w:hAnsi="Times New Roman" w:cs="Times New Roman"/>
      </w:rPr>
      <w:t xml:space="preserve"> 29</w:t>
    </w:r>
  </w:p>
  <w:p w:rsidR="003901DD" w:rsidRDefault="003901DD">
    <w:pPr>
      <w:pStyle w:val="Encabezado"/>
      <w:rPr>
        <w:rFonts w:ascii="Times New Roman" w:hAnsi="Times New Roman" w:cs="Times New Roman"/>
      </w:rPr>
    </w:pPr>
    <w:r w:rsidRPr="00D1442D">
      <w:rPr>
        <w:rFonts w:ascii="Times New Roman" w:hAnsi="Times New Roman" w:cs="Times New Roman"/>
      </w:rPr>
      <w:t xml:space="preserve">Integrantes: Cerda’ Natalia, Dones Micaela, </w:t>
    </w:r>
    <w:proofErr w:type="spellStart"/>
    <w:r w:rsidRPr="00D1442D">
      <w:rPr>
        <w:rFonts w:ascii="Times New Roman" w:hAnsi="Times New Roman" w:cs="Times New Roman"/>
      </w:rPr>
      <w:t>Tapari</w:t>
    </w:r>
    <w:proofErr w:type="spellEnd"/>
    <w:r w:rsidRPr="00D1442D">
      <w:rPr>
        <w:rFonts w:ascii="Times New Roman" w:hAnsi="Times New Roman" w:cs="Times New Roman"/>
      </w:rPr>
      <w:t xml:space="preserve"> </w:t>
    </w:r>
    <w:proofErr w:type="spellStart"/>
    <w:r w:rsidRPr="00D1442D">
      <w:rPr>
        <w:rFonts w:ascii="Times New Roman" w:hAnsi="Times New Roman" w:cs="Times New Roman"/>
      </w:rPr>
      <w:t>Ailen</w:t>
    </w:r>
    <w:proofErr w:type="spellEnd"/>
  </w:p>
  <w:p w:rsidR="00D1442D" w:rsidRDefault="00D1442D">
    <w:pPr>
      <w:pStyle w:val="Encabezado"/>
      <w:rPr>
        <w:rFonts w:ascii="Times New Roman" w:hAnsi="Times New Roman" w:cs="Times New Roman"/>
      </w:rPr>
    </w:pPr>
  </w:p>
  <w:p w:rsidR="00D1442D" w:rsidRPr="00D1442D" w:rsidRDefault="00D1442D">
    <w:pPr>
      <w:pStyle w:val="Encabezado"/>
      <w:rPr>
        <w:rFonts w:ascii="Times New Roman" w:hAnsi="Times New Roman" w:cs="Times New Roman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1B0FEC"/>
    <w:multiLevelType w:val="hybridMultilevel"/>
    <w:tmpl w:val="2BC0F0D4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131B7"/>
    <w:rsid w:val="000E4B82"/>
    <w:rsid w:val="000F1DA8"/>
    <w:rsid w:val="003901DD"/>
    <w:rsid w:val="0055333F"/>
    <w:rsid w:val="005A746D"/>
    <w:rsid w:val="005E44C5"/>
    <w:rsid w:val="00AC4103"/>
    <w:rsid w:val="00C131B7"/>
    <w:rsid w:val="00D1442D"/>
    <w:rsid w:val="00DA3937"/>
    <w:rsid w:val="00E16F4A"/>
    <w:rsid w:val="00E52771"/>
    <w:rsid w:val="00E531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3937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C131B7"/>
    <w:pPr>
      <w:ind w:left="720"/>
      <w:contextualSpacing/>
    </w:pPr>
  </w:style>
  <w:style w:type="character" w:styleId="Hipervnculo">
    <w:name w:val="Hyperlink"/>
    <w:basedOn w:val="Fuentedeprrafopredeter"/>
    <w:uiPriority w:val="99"/>
    <w:semiHidden/>
    <w:unhideWhenUsed/>
    <w:rsid w:val="00C131B7"/>
    <w:rPr>
      <w:color w:val="0000FF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3901D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901DD"/>
  </w:style>
  <w:style w:type="paragraph" w:styleId="Piedepgina">
    <w:name w:val="footer"/>
    <w:basedOn w:val="Normal"/>
    <w:link w:val="PiedepginaCar"/>
    <w:uiPriority w:val="99"/>
    <w:unhideWhenUsed/>
    <w:rsid w:val="003901D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901D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C131B7"/>
    <w:pPr>
      <w:ind w:left="720"/>
      <w:contextualSpacing/>
    </w:pPr>
  </w:style>
  <w:style w:type="character" w:styleId="Hipervnculo">
    <w:name w:val="Hyperlink"/>
    <w:basedOn w:val="Fuentedeprrafopredeter"/>
    <w:uiPriority w:val="99"/>
    <w:semiHidden/>
    <w:unhideWhenUsed/>
    <w:rsid w:val="00C131B7"/>
    <w:rPr>
      <w:color w:val="0000FF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3901D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901DD"/>
  </w:style>
  <w:style w:type="paragraph" w:styleId="Piedepgina">
    <w:name w:val="footer"/>
    <w:basedOn w:val="Normal"/>
    <w:link w:val="PiedepginaCar"/>
    <w:uiPriority w:val="99"/>
    <w:unhideWhenUsed/>
    <w:rsid w:val="003901D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901D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430</Words>
  <Characters>2370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ailen tapari</dc:creator>
  <cp:lastModifiedBy>RDG</cp:lastModifiedBy>
  <cp:revision>2</cp:revision>
  <dcterms:created xsi:type="dcterms:W3CDTF">2019-10-04T00:19:00Z</dcterms:created>
  <dcterms:modified xsi:type="dcterms:W3CDTF">2019-10-04T00:19:00Z</dcterms:modified>
</cp:coreProperties>
</file>