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CB" w:rsidRPr="003808CB" w:rsidRDefault="003808CB" w:rsidP="003808CB">
      <w:pPr>
        <w:spacing w:line="240" w:lineRule="auto"/>
        <w:jc w:val="both"/>
        <w:rPr>
          <w:rFonts w:cstheme="minorHAnsi"/>
          <w:u w:val="single"/>
          <w:lang w:val="es-ES"/>
        </w:rPr>
      </w:pPr>
      <w:bookmarkStart w:id="0" w:name="_GoBack"/>
      <w:bookmarkEnd w:id="0"/>
      <w:r w:rsidRPr="003808CB">
        <w:rPr>
          <w:rFonts w:cstheme="minorHAnsi"/>
          <w:u w:val="single"/>
          <w:lang w:val="es-ES"/>
        </w:rPr>
        <w:t>UNIVERSIDAD NACIONAL DE LA PLATA</w:t>
      </w:r>
    </w:p>
    <w:p w:rsidR="003808CB" w:rsidRPr="003808CB" w:rsidRDefault="003808CB" w:rsidP="003808CB">
      <w:pPr>
        <w:spacing w:line="240" w:lineRule="auto"/>
        <w:jc w:val="both"/>
        <w:rPr>
          <w:rFonts w:cstheme="minorHAnsi"/>
          <w:u w:val="single"/>
          <w:lang w:val="es-ES"/>
        </w:rPr>
      </w:pPr>
      <w:r w:rsidRPr="003808CB">
        <w:rPr>
          <w:rFonts w:cstheme="minorHAnsi"/>
          <w:u w:val="single"/>
          <w:lang w:val="es-ES"/>
        </w:rPr>
        <w:t xml:space="preserve">Facultad de Cs. Jurídicas y Sociales </w:t>
      </w:r>
    </w:p>
    <w:p w:rsidR="003808CB" w:rsidRDefault="003808CB" w:rsidP="003808CB">
      <w:pPr>
        <w:spacing w:line="240" w:lineRule="auto"/>
        <w:jc w:val="both"/>
        <w:rPr>
          <w:rFonts w:cstheme="minorHAnsi"/>
          <w:lang w:val="es-ES"/>
        </w:rPr>
      </w:pPr>
      <w:r>
        <w:rPr>
          <w:rFonts w:cstheme="minorHAnsi"/>
          <w:lang w:val="es-ES"/>
        </w:rPr>
        <w:t>Derecho Financiero- Cátedra 1. Titular: Rubén Darío Guerra.</w:t>
      </w:r>
    </w:p>
    <w:p w:rsidR="003808CB" w:rsidRDefault="003808CB" w:rsidP="003808CB">
      <w:pPr>
        <w:spacing w:line="240" w:lineRule="auto"/>
        <w:jc w:val="both"/>
        <w:rPr>
          <w:rFonts w:cstheme="minorHAnsi"/>
          <w:lang w:val="es-ES"/>
        </w:rPr>
      </w:pPr>
      <w:r>
        <w:rPr>
          <w:rFonts w:cstheme="minorHAnsi"/>
          <w:lang w:val="es-ES"/>
        </w:rPr>
        <w:t xml:space="preserve">Alumnas: CASAROSA, Nuria- MARIANO, Jorgelina. </w:t>
      </w:r>
    </w:p>
    <w:p w:rsidR="003808CB" w:rsidRDefault="003808CB" w:rsidP="003808CB">
      <w:pPr>
        <w:spacing w:line="240" w:lineRule="auto"/>
        <w:jc w:val="both"/>
        <w:rPr>
          <w:rFonts w:cstheme="minorHAnsi"/>
          <w:lang w:val="es-ES"/>
        </w:rPr>
      </w:pPr>
    </w:p>
    <w:p w:rsidR="003808CB" w:rsidRDefault="003808CB" w:rsidP="003808CB">
      <w:pPr>
        <w:spacing w:line="240" w:lineRule="auto"/>
        <w:jc w:val="both"/>
        <w:rPr>
          <w:rFonts w:cstheme="minorHAnsi"/>
          <w:lang w:val="es-ES"/>
        </w:rPr>
      </w:pPr>
    </w:p>
    <w:p w:rsidR="003808CB" w:rsidRPr="003808CB" w:rsidRDefault="003808CB" w:rsidP="003808CB">
      <w:pPr>
        <w:spacing w:line="360" w:lineRule="auto"/>
        <w:jc w:val="center"/>
        <w:rPr>
          <w:rFonts w:cstheme="minorHAnsi"/>
          <w:sz w:val="36"/>
          <w:szCs w:val="36"/>
          <w:u w:val="single"/>
          <w:lang w:val="es-ES"/>
        </w:rPr>
      </w:pPr>
      <w:r w:rsidRPr="003808CB">
        <w:rPr>
          <w:rFonts w:cstheme="minorHAnsi"/>
          <w:sz w:val="36"/>
          <w:szCs w:val="36"/>
          <w:u w:val="single"/>
          <w:lang w:val="es-ES"/>
        </w:rPr>
        <w:t>Presupuesto 2019- Gasto previsto en Salud</w:t>
      </w:r>
    </w:p>
    <w:p w:rsidR="003808CB" w:rsidRDefault="003808CB" w:rsidP="00A940AF">
      <w:pPr>
        <w:spacing w:line="360" w:lineRule="auto"/>
        <w:jc w:val="both"/>
        <w:rPr>
          <w:rFonts w:cstheme="minorHAnsi"/>
          <w:lang w:val="es-ES"/>
        </w:rPr>
      </w:pPr>
    </w:p>
    <w:p w:rsidR="003808CB" w:rsidRPr="003808CB" w:rsidRDefault="003808CB" w:rsidP="00A940AF">
      <w:pPr>
        <w:spacing w:line="360" w:lineRule="auto"/>
        <w:jc w:val="both"/>
        <w:rPr>
          <w:rFonts w:cstheme="minorHAnsi"/>
          <w:sz w:val="24"/>
          <w:szCs w:val="24"/>
          <w:lang w:val="es-ES"/>
        </w:rPr>
      </w:pPr>
      <w:r w:rsidRPr="003808CB">
        <w:rPr>
          <w:rFonts w:cstheme="minorHAnsi"/>
          <w:sz w:val="24"/>
          <w:szCs w:val="24"/>
          <w:lang w:val="es-ES"/>
        </w:rPr>
        <w:t>Aclaración inicial: p</w:t>
      </w:r>
      <w:r w:rsidR="00E143DE" w:rsidRPr="003808CB">
        <w:rPr>
          <w:rFonts w:cstheme="minorHAnsi"/>
          <w:sz w:val="24"/>
          <w:szCs w:val="24"/>
          <w:lang w:val="es-ES"/>
        </w:rPr>
        <w:t>ara realizar este breve trabajo utilizamos como principal fuente de información las diversas leyes de presupuesto correspondiente</w:t>
      </w:r>
      <w:r w:rsidR="004D230B">
        <w:rPr>
          <w:rFonts w:cstheme="minorHAnsi"/>
          <w:sz w:val="24"/>
          <w:szCs w:val="24"/>
          <w:lang w:val="es-ES"/>
        </w:rPr>
        <w:t>s</w:t>
      </w:r>
      <w:r w:rsidR="00E143DE" w:rsidRPr="003808CB">
        <w:rPr>
          <w:rFonts w:cstheme="minorHAnsi"/>
          <w:sz w:val="24"/>
          <w:szCs w:val="24"/>
          <w:lang w:val="es-ES"/>
        </w:rPr>
        <w:t xml:space="preserve"> al período 2012- 2019.</w:t>
      </w:r>
    </w:p>
    <w:p w:rsidR="00E143DE" w:rsidRPr="003808CB" w:rsidRDefault="003808CB" w:rsidP="00A940AF">
      <w:pPr>
        <w:spacing w:line="360" w:lineRule="auto"/>
        <w:jc w:val="both"/>
        <w:rPr>
          <w:rFonts w:cstheme="minorHAnsi"/>
          <w:sz w:val="24"/>
          <w:szCs w:val="24"/>
          <w:lang w:val="es-ES"/>
        </w:rPr>
      </w:pPr>
      <w:r w:rsidRPr="003808CB">
        <w:rPr>
          <w:rFonts w:cstheme="minorHAnsi"/>
          <w:sz w:val="24"/>
          <w:szCs w:val="24"/>
          <w:lang w:val="es-ES"/>
        </w:rPr>
        <w:t>A modo de introducción podemos decir que d</w:t>
      </w:r>
      <w:r w:rsidR="00E143DE" w:rsidRPr="003808CB">
        <w:rPr>
          <w:rFonts w:cstheme="minorHAnsi"/>
          <w:sz w:val="24"/>
          <w:szCs w:val="24"/>
          <w:lang w:val="es-ES"/>
        </w:rPr>
        <w:t>entro de la categoría Servicios Sociales</w:t>
      </w:r>
      <w:r w:rsidRPr="003808CB">
        <w:rPr>
          <w:rFonts w:cstheme="minorHAnsi"/>
          <w:sz w:val="24"/>
          <w:szCs w:val="24"/>
          <w:lang w:val="es-ES"/>
        </w:rPr>
        <w:t xml:space="preserve"> se encuentra la partida de S</w:t>
      </w:r>
      <w:r w:rsidR="00E143DE" w:rsidRPr="003808CB">
        <w:rPr>
          <w:rFonts w:cstheme="minorHAnsi"/>
          <w:sz w:val="24"/>
          <w:szCs w:val="24"/>
          <w:lang w:val="es-ES"/>
        </w:rPr>
        <w:t xml:space="preserve">alud junto con </w:t>
      </w:r>
      <w:r w:rsidRPr="003808CB">
        <w:rPr>
          <w:rFonts w:cstheme="minorHAnsi"/>
          <w:sz w:val="24"/>
          <w:szCs w:val="24"/>
          <w:lang w:val="es-ES"/>
        </w:rPr>
        <w:t>P</w:t>
      </w:r>
      <w:r w:rsidR="00E143DE" w:rsidRPr="003808CB">
        <w:rPr>
          <w:rFonts w:cstheme="minorHAnsi"/>
          <w:sz w:val="24"/>
          <w:szCs w:val="24"/>
          <w:lang w:val="es-ES"/>
        </w:rPr>
        <w:t xml:space="preserve">romoción </w:t>
      </w:r>
      <w:r w:rsidRPr="003808CB">
        <w:rPr>
          <w:rFonts w:cstheme="minorHAnsi"/>
          <w:sz w:val="24"/>
          <w:szCs w:val="24"/>
          <w:lang w:val="es-ES"/>
        </w:rPr>
        <w:t>y Asistencia S</w:t>
      </w:r>
      <w:r w:rsidR="00E143DE" w:rsidRPr="003808CB">
        <w:rPr>
          <w:rFonts w:cstheme="minorHAnsi"/>
          <w:sz w:val="24"/>
          <w:szCs w:val="24"/>
          <w:lang w:val="es-ES"/>
        </w:rPr>
        <w:t xml:space="preserve">ocial, </w:t>
      </w:r>
      <w:r w:rsidRPr="003808CB">
        <w:rPr>
          <w:rFonts w:cstheme="minorHAnsi"/>
          <w:sz w:val="24"/>
          <w:szCs w:val="24"/>
          <w:lang w:val="es-ES"/>
        </w:rPr>
        <w:t>Seguridad S</w:t>
      </w:r>
      <w:r w:rsidR="00E143DE" w:rsidRPr="003808CB">
        <w:rPr>
          <w:rFonts w:cstheme="minorHAnsi"/>
          <w:sz w:val="24"/>
          <w:szCs w:val="24"/>
          <w:lang w:val="es-ES"/>
        </w:rPr>
        <w:t xml:space="preserve">ocial, </w:t>
      </w:r>
      <w:r w:rsidRPr="003808CB">
        <w:rPr>
          <w:rFonts w:cstheme="minorHAnsi"/>
          <w:sz w:val="24"/>
          <w:szCs w:val="24"/>
          <w:lang w:val="es-ES"/>
        </w:rPr>
        <w:t>E</w:t>
      </w:r>
      <w:r w:rsidR="00E143DE" w:rsidRPr="003808CB">
        <w:rPr>
          <w:rFonts w:cstheme="minorHAnsi"/>
          <w:sz w:val="24"/>
          <w:szCs w:val="24"/>
          <w:lang w:val="es-ES"/>
        </w:rPr>
        <w:t xml:space="preserve">ducación </w:t>
      </w:r>
      <w:r w:rsidRPr="003808CB">
        <w:rPr>
          <w:rFonts w:cstheme="minorHAnsi"/>
          <w:sz w:val="24"/>
          <w:szCs w:val="24"/>
          <w:lang w:val="es-ES"/>
        </w:rPr>
        <w:t>y Cultura, C</w:t>
      </w:r>
      <w:r w:rsidR="00E143DE" w:rsidRPr="003808CB">
        <w:rPr>
          <w:rFonts w:cstheme="minorHAnsi"/>
          <w:sz w:val="24"/>
          <w:szCs w:val="24"/>
          <w:lang w:val="es-ES"/>
        </w:rPr>
        <w:t xml:space="preserve">iencia y </w:t>
      </w:r>
      <w:r w:rsidRPr="003808CB">
        <w:rPr>
          <w:rFonts w:cstheme="minorHAnsi"/>
          <w:sz w:val="24"/>
          <w:szCs w:val="24"/>
          <w:lang w:val="es-ES"/>
        </w:rPr>
        <w:t>T</w:t>
      </w:r>
      <w:r w:rsidR="00E143DE" w:rsidRPr="003808CB">
        <w:rPr>
          <w:rFonts w:cstheme="minorHAnsi"/>
          <w:sz w:val="24"/>
          <w:szCs w:val="24"/>
          <w:lang w:val="es-ES"/>
        </w:rPr>
        <w:t>écnica,</w:t>
      </w:r>
      <w:r w:rsidRPr="003808CB">
        <w:rPr>
          <w:rFonts w:cstheme="minorHAnsi"/>
          <w:sz w:val="24"/>
          <w:szCs w:val="24"/>
          <w:lang w:val="es-ES"/>
        </w:rPr>
        <w:t xml:space="preserve"> Trabajo, Vivienda y U</w:t>
      </w:r>
      <w:r w:rsidR="00E143DE" w:rsidRPr="003808CB">
        <w:rPr>
          <w:rFonts w:cstheme="minorHAnsi"/>
          <w:sz w:val="24"/>
          <w:szCs w:val="24"/>
          <w:lang w:val="es-ES"/>
        </w:rPr>
        <w:t>r</w:t>
      </w:r>
      <w:r w:rsidRPr="003808CB">
        <w:rPr>
          <w:rFonts w:cstheme="minorHAnsi"/>
          <w:sz w:val="24"/>
          <w:szCs w:val="24"/>
          <w:lang w:val="es-ES"/>
        </w:rPr>
        <w:t>banismo, Agua potable y A</w:t>
      </w:r>
      <w:r w:rsidR="00E143DE" w:rsidRPr="003808CB">
        <w:rPr>
          <w:rFonts w:cstheme="minorHAnsi"/>
          <w:sz w:val="24"/>
          <w:szCs w:val="24"/>
          <w:lang w:val="es-ES"/>
        </w:rPr>
        <w:t>lcantarillado.</w:t>
      </w:r>
    </w:p>
    <w:p w:rsidR="00AF517A" w:rsidRDefault="003808CB" w:rsidP="00A940AF">
      <w:pPr>
        <w:spacing w:line="360" w:lineRule="auto"/>
        <w:jc w:val="both"/>
        <w:rPr>
          <w:rFonts w:cstheme="minorHAnsi"/>
          <w:sz w:val="24"/>
          <w:szCs w:val="24"/>
          <w:lang w:val="es-ES"/>
        </w:rPr>
      </w:pPr>
      <w:r>
        <w:rPr>
          <w:rFonts w:cstheme="minorHAnsi"/>
          <w:sz w:val="24"/>
          <w:szCs w:val="24"/>
          <w:lang w:val="es-ES"/>
        </w:rPr>
        <w:t>Como</w:t>
      </w:r>
      <w:r w:rsidR="00AF517A" w:rsidRPr="003808CB">
        <w:rPr>
          <w:rFonts w:cstheme="minorHAnsi"/>
          <w:sz w:val="24"/>
          <w:szCs w:val="24"/>
          <w:lang w:val="es-ES"/>
        </w:rPr>
        <w:t xml:space="preserve"> punto</w:t>
      </w:r>
      <w:r w:rsidR="00420FAA">
        <w:rPr>
          <w:rFonts w:cstheme="minorHAnsi"/>
          <w:sz w:val="24"/>
          <w:szCs w:val="24"/>
          <w:lang w:val="es-ES"/>
        </w:rPr>
        <w:t xml:space="preserve"> de partida</w:t>
      </w:r>
      <w:r w:rsidR="00AF517A" w:rsidRPr="003808CB">
        <w:rPr>
          <w:rFonts w:cstheme="minorHAnsi"/>
          <w:sz w:val="24"/>
          <w:szCs w:val="24"/>
          <w:lang w:val="es-ES"/>
        </w:rPr>
        <w:t xml:space="preserve"> </w:t>
      </w:r>
      <w:r w:rsidR="00420FAA">
        <w:rPr>
          <w:rFonts w:cstheme="minorHAnsi"/>
          <w:sz w:val="24"/>
          <w:szCs w:val="24"/>
          <w:lang w:val="es-ES"/>
        </w:rPr>
        <w:t xml:space="preserve">para analizar el presupuesto </w:t>
      </w:r>
      <w:r w:rsidR="00AF517A" w:rsidRPr="003808CB">
        <w:rPr>
          <w:rFonts w:cstheme="minorHAnsi"/>
          <w:sz w:val="24"/>
          <w:szCs w:val="24"/>
          <w:lang w:val="es-ES"/>
        </w:rPr>
        <w:t xml:space="preserve">2019, en </w:t>
      </w:r>
      <w:r w:rsidR="00420FAA">
        <w:rPr>
          <w:rFonts w:cstheme="minorHAnsi"/>
          <w:sz w:val="24"/>
          <w:szCs w:val="24"/>
          <w:lang w:val="es-ES"/>
        </w:rPr>
        <w:t>lo relativo a</w:t>
      </w:r>
      <w:r w:rsidR="00AF517A" w:rsidRPr="003808CB">
        <w:rPr>
          <w:rFonts w:cstheme="minorHAnsi"/>
          <w:sz w:val="24"/>
          <w:szCs w:val="24"/>
          <w:lang w:val="es-ES"/>
        </w:rPr>
        <w:t xml:space="preserve"> la partida de salud, decidimos </w:t>
      </w:r>
      <w:r w:rsidR="00420FAA">
        <w:rPr>
          <w:rFonts w:cstheme="minorHAnsi"/>
          <w:sz w:val="24"/>
          <w:szCs w:val="24"/>
          <w:lang w:val="es-ES"/>
        </w:rPr>
        <w:t xml:space="preserve">tomar como base </w:t>
      </w:r>
      <w:r w:rsidR="00AF517A" w:rsidRPr="003808CB">
        <w:rPr>
          <w:rFonts w:cstheme="minorHAnsi"/>
          <w:sz w:val="24"/>
          <w:szCs w:val="24"/>
          <w:lang w:val="es-ES"/>
        </w:rPr>
        <w:t xml:space="preserve">cuánto </w:t>
      </w:r>
      <w:r w:rsidR="00420FAA">
        <w:rPr>
          <w:rFonts w:cstheme="minorHAnsi"/>
          <w:sz w:val="24"/>
          <w:szCs w:val="24"/>
          <w:lang w:val="es-ES"/>
        </w:rPr>
        <w:t xml:space="preserve">es el </w:t>
      </w:r>
      <w:r w:rsidR="00AF517A" w:rsidRPr="003808CB">
        <w:rPr>
          <w:rFonts w:cstheme="minorHAnsi"/>
          <w:sz w:val="24"/>
          <w:szCs w:val="24"/>
          <w:lang w:val="es-ES"/>
        </w:rPr>
        <w:t xml:space="preserve">dinero </w:t>
      </w:r>
      <w:r w:rsidR="00420FAA">
        <w:rPr>
          <w:rFonts w:cstheme="minorHAnsi"/>
          <w:sz w:val="24"/>
          <w:szCs w:val="24"/>
          <w:lang w:val="es-ES"/>
        </w:rPr>
        <w:t xml:space="preserve">presupuestado </w:t>
      </w:r>
      <w:r w:rsidR="00AF517A" w:rsidRPr="003808CB">
        <w:rPr>
          <w:rFonts w:cstheme="minorHAnsi"/>
          <w:sz w:val="24"/>
          <w:szCs w:val="24"/>
          <w:lang w:val="es-ES"/>
        </w:rPr>
        <w:t>como</w:t>
      </w:r>
      <w:r w:rsidR="00420FAA">
        <w:rPr>
          <w:rFonts w:cstheme="minorHAnsi"/>
          <w:sz w:val="24"/>
          <w:szCs w:val="24"/>
          <w:lang w:val="es-ES"/>
        </w:rPr>
        <w:t xml:space="preserve"> recursos totales (corrientes y de capital)</w:t>
      </w:r>
      <w:r w:rsidR="00AF517A" w:rsidRPr="003808CB">
        <w:rPr>
          <w:rFonts w:cstheme="minorHAnsi"/>
          <w:sz w:val="24"/>
          <w:szCs w:val="24"/>
          <w:lang w:val="es-ES"/>
        </w:rPr>
        <w:t>, cuánto</w:t>
      </w:r>
      <w:r w:rsidR="00420FAA">
        <w:rPr>
          <w:rFonts w:cstheme="minorHAnsi"/>
          <w:sz w:val="24"/>
          <w:szCs w:val="24"/>
          <w:lang w:val="es-ES"/>
        </w:rPr>
        <w:t xml:space="preserve"> es el monto</w:t>
      </w:r>
      <w:r w:rsidR="00AF517A" w:rsidRPr="003808CB">
        <w:rPr>
          <w:rFonts w:cstheme="minorHAnsi"/>
          <w:sz w:val="24"/>
          <w:szCs w:val="24"/>
          <w:lang w:val="es-ES"/>
        </w:rPr>
        <w:t xml:space="preserve"> total de gastos y cuánto de esos gastos </w:t>
      </w:r>
      <w:r w:rsidR="00420FAA" w:rsidRPr="003808CB">
        <w:rPr>
          <w:rFonts w:cstheme="minorHAnsi"/>
          <w:sz w:val="24"/>
          <w:szCs w:val="24"/>
          <w:lang w:val="es-ES"/>
        </w:rPr>
        <w:t>está</w:t>
      </w:r>
      <w:r w:rsidR="00420FAA">
        <w:rPr>
          <w:rFonts w:cstheme="minorHAnsi"/>
          <w:sz w:val="24"/>
          <w:szCs w:val="24"/>
          <w:lang w:val="es-ES"/>
        </w:rPr>
        <w:t>n</w:t>
      </w:r>
      <w:r w:rsidR="00AF517A" w:rsidRPr="003808CB">
        <w:rPr>
          <w:rFonts w:cstheme="minorHAnsi"/>
          <w:sz w:val="24"/>
          <w:szCs w:val="24"/>
          <w:lang w:val="es-ES"/>
        </w:rPr>
        <w:t xml:space="preserve"> asignados a la partida de salud.</w:t>
      </w:r>
      <w:r w:rsidR="00420FAA" w:rsidRPr="00420FAA">
        <w:rPr>
          <w:rFonts w:cstheme="minorHAnsi"/>
          <w:sz w:val="24"/>
          <w:szCs w:val="24"/>
          <w:lang w:val="es-ES"/>
        </w:rPr>
        <w:t xml:space="preserve"> </w:t>
      </w:r>
      <w:r w:rsidR="00420FAA">
        <w:rPr>
          <w:rFonts w:cstheme="minorHAnsi"/>
          <w:sz w:val="24"/>
          <w:szCs w:val="24"/>
          <w:lang w:val="es-ES"/>
        </w:rPr>
        <w:t xml:space="preserve">Con el objeto de poder realizar un análisis comparativo tomamos dichos datos desde el año 2012 hasta el 2019. </w:t>
      </w:r>
      <w:r w:rsidR="00DC44C0" w:rsidRPr="003808CB">
        <w:rPr>
          <w:rFonts w:cstheme="minorHAnsi"/>
          <w:sz w:val="24"/>
          <w:szCs w:val="24"/>
          <w:lang w:val="es-ES"/>
        </w:rPr>
        <w:t>Sistematizamos estos datos en el siguiente cuadro con su correspondiente gráfico.</w:t>
      </w:r>
    </w:p>
    <w:p w:rsidR="00420FAA" w:rsidRPr="003808CB" w:rsidRDefault="00420FAA" w:rsidP="00A940AF">
      <w:pPr>
        <w:spacing w:line="360" w:lineRule="auto"/>
        <w:jc w:val="both"/>
        <w:rPr>
          <w:rFonts w:cstheme="minorHAnsi"/>
          <w:sz w:val="24"/>
          <w:szCs w:val="24"/>
          <w:lang w:val="es-ES"/>
        </w:rPr>
      </w:pPr>
    </w:p>
    <w:tbl>
      <w:tblPr>
        <w:tblW w:w="11432" w:type="dxa"/>
        <w:tblInd w:w="-1348" w:type="dxa"/>
        <w:tblCellMar>
          <w:left w:w="70" w:type="dxa"/>
          <w:right w:w="70" w:type="dxa"/>
        </w:tblCellMar>
        <w:tblLook w:val="04A0" w:firstRow="1" w:lastRow="0" w:firstColumn="1" w:lastColumn="0" w:noHBand="0" w:noVBand="1"/>
      </w:tblPr>
      <w:tblGrid>
        <w:gridCol w:w="947"/>
        <w:gridCol w:w="1235"/>
        <w:gridCol w:w="1235"/>
        <w:gridCol w:w="1235"/>
        <w:gridCol w:w="1356"/>
        <w:gridCol w:w="1356"/>
        <w:gridCol w:w="1356"/>
        <w:gridCol w:w="1356"/>
        <w:gridCol w:w="1356"/>
      </w:tblGrid>
      <w:tr w:rsidR="00905EFE" w:rsidRPr="00A940AF" w:rsidTr="00905EFE">
        <w:trPr>
          <w:trHeight w:val="4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905EFE">
              <w:rPr>
                <w:rFonts w:eastAsia="Times New Roman" w:cstheme="minorHAnsi"/>
                <w:b/>
                <w:color w:val="000000"/>
                <w:sz w:val="16"/>
                <w:szCs w:val="16"/>
                <w:lang w:eastAsia="es-AR"/>
              </w:rPr>
              <w:t>2019</w:t>
            </w:r>
          </w:p>
        </w:tc>
      </w:tr>
      <w:tr w:rsidR="00905EFE" w:rsidRPr="00A940AF" w:rsidTr="00905EFE">
        <w:trPr>
          <w:trHeight w:val="515"/>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A940AF">
              <w:rPr>
                <w:rFonts w:eastAsia="Times New Roman" w:cstheme="minorHAnsi"/>
                <w:b/>
                <w:color w:val="000000"/>
                <w:sz w:val="16"/>
                <w:szCs w:val="16"/>
                <w:lang w:eastAsia="es-AR"/>
              </w:rPr>
              <w:t>R</w:t>
            </w:r>
            <w:r w:rsidRPr="00905EFE">
              <w:rPr>
                <w:rFonts w:eastAsia="Times New Roman" w:cstheme="minorHAnsi"/>
                <w:b/>
                <w:color w:val="000000"/>
                <w:sz w:val="16"/>
                <w:szCs w:val="16"/>
                <w:lang w:eastAsia="es-AR"/>
              </w:rPr>
              <w:t>ecursos totales</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506.576.200.857</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629.216.685.298</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860.411.622.214</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1.202.006.463.046</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1.471.717.919.281</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1.882.818.496.302</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2.225.544.243.077</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3.572.026.538.833</w:t>
            </w:r>
          </w:p>
        </w:tc>
      </w:tr>
      <w:tr w:rsidR="00905EFE" w:rsidRPr="00A940AF" w:rsidTr="00905EFE">
        <w:trPr>
          <w:trHeight w:val="53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A940AF">
              <w:rPr>
                <w:rFonts w:eastAsia="Times New Roman" w:cstheme="minorHAnsi"/>
                <w:b/>
                <w:color w:val="000000"/>
                <w:sz w:val="16"/>
                <w:szCs w:val="16"/>
                <w:lang w:eastAsia="es-AR"/>
              </w:rPr>
              <w:t>G</w:t>
            </w:r>
            <w:r w:rsidRPr="00905EFE">
              <w:rPr>
                <w:rFonts w:eastAsia="Times New Roman" w:cstheme="minorHAnsi"/>
                <w:b/>
                <w:color w:val="000000"/>
                <w:sz w:val="16"/>
                <w:szCs w:val="16"/>
                <w:lang w:eastAsia="es-AR"/>
              </w:rPr>
              <w:t>astos totales</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505.129.953.435</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628.629.218.165</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859.542.689.425</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1.251.630.248.497</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1.569.412.091.951</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2.363.619.870.574</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2.904.414.117.468</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4.172.312.239.441</w:t>
            </w:r>
          </w:p>
        </w:tc>
      </w:tr>
      <w:tr w:rsidR="00905EFE" w:rsidRPr="00A940AF" w:rsidTr="00905EFE">
        <w:trPr>
          <w:trHeight w:val="53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b/>
                <w:color w:val="000000"/>
                <w:sz w:val="16"/>
                <w:szCs w:val="16"/>
                <w:lang w:eastAsia="es-AR"/>
              </w:rPr>
            </w:pPr>
            <w:r w:rsidRPr="00A940AF">
              <w:rPr>
                <w:rFonts w:eastAsia="Times New Roman" w:cstheme="minorHAnsi"/>
                <w:b/>
                <w:color w:val="000000"/>
                <w:sz w:val="16"/>
                <w:szCs w:val="16"/>
                <w:lang w:eastAsia="es-AR"/>
              </w:rPr>
              <w:t>G</w:t>
            </w:r>
            <w:r w:rsidRPr="00905EFE">
              <w:rPr>
                <w:rFonts w:eastAsia="Times New Roman" w:cstheme="minorHAnsi"/>
                <w:b/>
                <w:color w:val="000000"/>
                <w:sz w:val="16"/>
                <w:szCs w:val="16"/>
                <w:lang w:eastAsia="es-AR"/>
              </w:rPr>
              <w:t>astos</w:t>
            </w:r>
            <w:r w:rsidRPr="00A940AF">
              <w:rPr>
                <w:rFonts w:eastAsia="Times New Roman" w:cstheme="minorHAnsi"/>
                <w:b/>
                <w:color w:val="000000"/>
                <w:sz w:val="16"/>
                <w:szCs w:val="16"/>
                <w:lang w:eastAsia="es-AR"/>
              </w:rPr>
              <w:t xml:space="preserve"> en</w:t>
            </w:r>
            <w:r w:rsidRPr="00905EFE">
              <w:rPr>
                <w:rFonts w:eastAsia="Times New Roman" w:cstheme="minorHAnsi"/>
                <w:b/>
                <w:color w:val="000000"/>
                <w:sz w:val="16"/>
                <w:szCs w:val="16"/>
                <w:lang w:eastAsia="es-AR"/>
              </w:rPr>
              <w:t xml:space="preserve"> salud</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17.934.712.430</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24.983.040.627</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29.561.319.051</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41.158.547.311</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62.941.573.860</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87.022.563.002</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106.961.032.668</w:t>
            </w:r>
          </w:p>
        </w:tc>
        <w:tc>
          <w:tcPr>
            <w:tcW w:w="0" w:type="auto"/>
            <w:tcBorders>
              <w:top w:val="nil"/>
              <w:left w:val="nil"/>
              <w:bottom w:val="single" w:sz="4" w:space="0" w:color="auto"/>
              <w:right w:val="single" w:sz="4" w:space="0" w:color="auto"/>
            </w:tcBorders>
            <w:shd w:val="clear" w:color="auto" w:fill="auto"/>
            <w:noWrap/>
            <w:vAlign w:val="center"/>
            <w:hideMark/>
          </w:tcPr>
          <w:p w:rsidR="00905EFE" w:rsidRPr="00905EFE" w:rsidRDefault="00905EFE" w:rsidP="00A940AF">
            <w:pPr>
              <w:spacing w:after="0" w:line="360" w:lineRule="auto"/>
              <w:jc w:val="both"/>
              <w:rPr>
                <w:rFonts w:eastAsia="Times New Roman" w:cstheme="minorHAnsi"/>
                <w:color w:val="000000"/>
                <w:sz w:val="16"/>
                <w:szCs w:val="16"/>
                <w:lang w:eastAsia="es-AR"/>
              </w:rPr>
            </w:pPr>
            <w:r w:rsidRPr="00905EFE">
              <w:rPr>
                <w:rFonts w:eastAsia="Times New Roman" w:cstheme="minorHAnsi"/>
                <w:color w:val="000000"/>
                <w:sz w:val="16"/>
                <w:szCs w:val="16"/>
                <w:lang w:eastAsia="es-AR"/>
              </w:rPr>
              <w:t>149.697.492.929</w:t>
            </w:r>
          </w:p>
        </w:tc>
      </w:tr>
    </w:tbl>
    <w:p w:rsidR="00E143DE" w:rsidRPr="00A940AF" w:rsidRDefault="00E143DE" w:rsidP="00A940AF">
      <w:pPr>
        <w:spacing w:line="360" w:lineRule="auto"/>
        <w:jc w:val="both"/>
        <w:rPr>
          <w:rFonts w:cstheme="minorHAnsi"/>
          <w:lang w:val="es-ES"/>
        </w:rPr>
      </w:pPr>
    </w:p>
    <w:p w:rsidR="00E143DE" w:rsidRPr="00A940AF" w:rsidRDefault="00E143DE" w:rsidP="00A940AF">
      <w:pPr>
        <w:spacing w:line="360" w:lineRule="auto"/>
        <w:jc w:val="both"/>
        <w:rPr>
          <w:rFonts w:cstheme="minorHAnsi"/>
          <w:lang w:val="es-ES"/>
        </w:rPr>
      </w:pPr>
    </w:p>
    <w:p w:rsidR="00E143DE" w:rsidRPr="00A940AF" w:rsidRDefault="00E143DE" w:rsidP="00A940AF">
      <w:pPr>
        <w:spacing w:line="360" w:lineRule="auto"/>
        <w:jc w:val="both"/>
        <w:rPr>
          <w:rFonts w:cstheme="minorHAnsi"/>
          <w:lang w:val="es-ES"/>
        </w:rPr>
      </w:pPr>
      <w:r w:rsidRPr="00A940AF">
        <w:rPr>
          <w:rFonts w:cstheme="minorHAnsi"/>
          <w:noProof/>
          <w:lang w:eastAsia="es-AR"/>
        </w:rPr>
        <w:lastRenderedPageBreak/>
        <w:drawing>
          <wp:inline distT="0" distB="0" distL="0" distR="0" wp14:anchorId="45ADB03B" wp14:editId="334EA3AC">
            <wp:extent cx="5400040" cy="2673136"/>
            <wp:effectExtent l="0" t="0" r="1016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C44C0" w:rsidRPr="00A940AF" w:rsidRDefault="00DC44C0" w:rsidP="00A940AF">
      <w:pPr>
        <w:spacing w:line="360" w:lineRule="auto"/>
        <w:jc w:val="both"/>
        <w:rPr>
          <w:rFonts w:cstheme="minorHAnsi"/>
          <w:lang w:val="es-ES"/>
        </w:rPr>
      </w:pPr>
    </w:p>
    <w:p w:rsidR="00DC44C0" w:rsidRPr="00420FAA" w:rsidRDefault="00DC44C0" w:rsidP="00420FAA">
      <w:pPr>
        <w:spacing w:line="360" w:lineRule="auto"/>
        <w:jc w:val="both"/>
        <w:rPr>
          <w:rFonts w:cstheme="minorHAnsi"/>
          <w:sz w:val="24"/>
          <w:szCs w:val="24"/>
          <w:lang w:val="es-ES"/>
        </w:rPr>
      </w:pPr>
      <w:r w:rsidRPr="00420FAA">
        <w:rPr>
          <w:rFonts w:cstheme="minorHAnsi"/>
          <w:sz w:val="24"/>
          <w:szCs w:val="24"/>
          <w:lang w:val="es-ES"/>
        </w:rPr>
        <w:t xml:space="preserve">Teniendo en cuenta esta información podemos realizar varias observaciones. </w:t>
      </w:r>
      <w:r w:rsidR="00420FAA">
        <w:rPr>
          <w:rFonts w:cstheme="minorHAnsi"/>
          <w:sz w:val="24"/>
          <w:szCs w:val="24"/>
          <w:lang w:val="es-ES"/>
        </w:rPr>
        <w:t xml:space="preserve">Notamos </w:t>
      </w:r>
      <w:r w:rsidRPr="00420FAA">
        <w:rPr>
          <w:rFonts w:cstheme="minorHAnsi"/>
          <w:sz w:val="24"/>
          <w:szCs w:val="24"/>
          <w:lang w:val="es-ES"/>
        </w:rPr>
        <w:t xml:space="preserve">que a lo largo de estos siete años </w:t>
      </w:r>
      <w:r w:rsidR="00BF1002" w:rsidRPr="00420FAA">
        <w:rPr>
          <w:rFonts w:cstheme="minorHAnsi"/>
          <w:sz w:val="24"/>
          <w:szCs w:val="24"/>
          <w:lang w:val="es-ES"/>
        </w:rPr>
        <w:t>fueron creciendo los niveles de gastos y recursos, pero a partir de 20</w:t>
      </w:r>
      <w:r w:rsidR="00420FAA">
        <w:rPr>
          <w:rFonts w:cstheme="minorHAnsi"/>
          <w:sz w:val="24"/>
          <w:szCs w:val="24"/>
          <w:lang w:val="es-ES"/>
        </w:rPr>
        <w:t>15 los gastos</w:t>
      </w:r>
      <w:r w:rsidR="00506032">
        <w:rPr>
          <w:rFonts w:cstheme="minorHAnsi"/>
          <w:sz w:val="24"/>
          <w:szCs w:val="24"/>
          <w:lang w:val="es-ES"/>
        </w:rPr>
        <w:t xml:space="preserve"> calculados comienzan</w:t>
      </w:r>
      <w:r w:rsidR="00420FAA">
        <w:rPr>
          <w:rFonts w:cstheme="minorHAnsi"/>
          <w:sz w:val="24"/>
          <w:szCs w:val="24"/>
          <w:lang w:val="es-ES"/>
        </w:rPr>
        <w:t xml:space="preserve"> a superar</w:t>
      </w:r>
      <w:r w:rsidR="00BF1002" w:rsidRPr="00420FAA">
        <w:rPr>
          <w:rFonts w:cstheme="minorHAnsi"/>
          <w:sz w:val="24"/>
          <w:szCs w:val="24"/>
          <w:lang w:val="es-ES"/>
        </w:rPr>
        <w:t xml:space="preserve"> los recursos que se estima van a ingresar a las arcas del Estado. Por lo tanto en los últimos cinco años nuestros presupuestos han sido deficitarios. </w:t>
      </w:r>
    </w:p>
    <w:p w:rsidR="00BF1002" w:rsidRPr="00420FAA" w:rsidRDefault="00BF1002" w:rsidP="00420FAA">
      <w:pPr>
        <w:spacing w:line="360" w:lineRule="auto"/>
        <w:jc w:val="both"/>
        <w:rPr>
          <w:rFonts w:cstheme="minorHAnsi"/>
          <w:sz w:val="24"/>
          <w:szCs w:val="24"/>
          <w:lang w:val="es-ES"/>
        </w:rPr>
      </w:pPr>
      <w:r w:rsidRPr="00420FAA">
        <w:rPr>
          <w:rFonts w:cstheme="minorHAnsi"/>
          <w:sz w:val="24"/>
          <w:szCs w:val="24"/>
          <w:lang w:val="es-ES"/>
        </w:rPr>
        <w:t xml:space="preserve">En este gráfico también </w:t>
      </w:r>
      <w:r w:rsidR="00506032">
        <w:rPr>
          <w:rFonts w:cstheme="minorHAnsi"/>
          <w:sz w:val="24"/>
          <w:szCs w:val="24"/>
          <w:lang w:val="es-ES"/>
        </w:rPr>
        <w:t>vemos que es muy</w:t>
      </w:r>
      <w:r w:rsidRPr="00420FAA">
        <w:rPr>
          <w:rFonts w:cstheme="minorHAnsi"/>
          <w:sz w:val="24"/>
          <w:szCs w:val="24"/>
          <w:lang w:val="es-ES"/>
        </w:rPr>
        <w:t xml:space="preserve"> poco el valor asignado a las partidas de salud en comparación con los gastos totales que prevé el Estado. Por esto decidimos analizar en específico la partida de salud y visualizarla en porcentaje</w:t>
      </w:r>
      <w:r w:rsidR="00506032">
        <w:rPr>
          <w:rFonts w:cstheme="minorHAnsi"/>
          <w:sz w:val="24"/>
          <w:szCs w:val="24"/>
          <w:lang w:val="es-ES"/>
        </w:rPr>
        <w:t>s</w:t>
      </w:r>
      <w:r w:rsidRPr="00420FAA">
        <w:rPr>
          <w:rFonts w:cstheme="minorHAnsi"/>
          <w:sz w:val="24"/>
          <w:szCs w:val="24"/>
          <w:lang w:val="es-ES"/>
        </w:rPr>
        <w:t xml:space="preserve">. Comparamos cuanto fue el porcentaje asignado a salud teniendo en cuenta, por un lado, los recursos corrientes y de capital y, por otro lado, los gastos totales. </w:t>
      </w:r>
    </w:p>
    <w:p w:rsidR="0071234E" w:rsidRPr="00A940AF" w:rsidRDefault="0071234E" w:rsidP="00A940AF">
      <w:pPr>
        <w:spacing w:line="360" w:lineRule="auto"/>
        <w:jc w:val="both"/>
        <w:rPr>
          <w:rFonts w:cstheme="minorHAnsi"/>
          <w:lang w:val="es-ES"/>
        </w:rPr>
      </w:pPr>
    </w:p>
    <w:tbl>
      <w:tblPr>
        <w:tblW w:w="8385" w:type="dxa"/>
        <w:tblCellMar>
          <w:left w:w="70" w:type="dxa"/>
          <w:right w:w="70" w:type="dxa"/>
        </w:tblCellMar>
        <w:tblLook w:val="04A0" w:firstRow="1" w:lastRow="0" w:firstColumn="1" w:lastColumn="0" w:noHBand="0" w:noVBand="1"/>
      </w:tblPr>
      <w:tblGrid>
        <w:gridCol w:w="1866"/>
        <w:gridCol w:w="814"/>
        <w:gridCol w:w="815"/>
        <w:gridCol w:w="815"/>
        <w:gridCol w:w="815"/>
        <w:gridCol w:w="815"/>
        <w:gridCol w:w="815"/>
        <w:gridCol w:w="815"/>
        <w:gridCol w:w="815"/>
      </w:tblGrid>
      <w:tr w:rsidR="0071234E" w:rsidRPr="00A940AF" w:rsidTr="0071234E">
        <w:trPr>
          <w:trHeight w:val="40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A940AF">
              <w:rPr>
                <w:rFonts w:eastAsia="Times New Roman" w:cstheme="minorHAnsi"/>
                <w:b/>
                <w:color w:val="000000"/>
                <w:lang w:eastAsia="es-AR"/>
              </w:rPr>
              <w:t>G</w:t>
            </w:r>
            <w:r w:rsidRPr="00BF1002">
              <w:rPr>
                <w:rFonts w:eastAsia="Times New Roman" w:cstheme="minorHAnsi"/>
                <w:b/>
                <w:color w:val="000000"/>
                <w:lang w:eastAsia="es-AR"/>
              </w:rPr>
              <w:t>astos en salud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BF1002">
              <w:rPr>
                <w:rFonts w:eastAsia="Times New Roman" w:cstheme="minorHAnsi"/>
                <w:b/>
                <w:color w:val="000000"/>
                <w:lang w:eastAsia="es-AR"/>
              </w:rPr>
              <w:t>2019</w:t>
            </w:r>
          </w:p>
        </w:tc>
      </w:tr>
      <w:tr w:rsidR="0071234E" w:rsidRPr="00A940AF" w:rsidTr="0071234E">
        <w:trPr>
          <w:trHeight w:val="4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A940AF">
              <w:rPr>
                <w:rFonts w:eastAsia="Times New Roman" w:cstheme="minorHAnsi"/>
                <w:b/>
                <w:color w:val="000000"/>
                <w:lang w:eastAsia="es-AR"/>
              </w:rPr>
              <w:t>R</w:t>
            </w:r>
            <w:r w:rsidRPr="00BF1002">
              <w:rPr>
                <w:rFonts w:eastAsia="Times New Roman" w:cstheme="minorHAnsi"/>
                <w:b/>
                <w:color w:val="000000"/>
                <w:lang w:eastAsia="es-AR"/>
              </w:rPr>
              <w:t>ecursos</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3,54</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3,97</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3,43</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3,42</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4,27</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4,62</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4,8</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4,19</w:t>
            </w:r>
            <w:r w:rsidR="00506032">
              <w:rPr>
                <w:rFonts w:eastAsia="Times New Roman" w:cstheme="minorHAnsi"/>
                <w:color w:val="000000"/>
                <w:lang w:eastAsia="es-AR"/>
              </w:rPr>
              <w:t>%</w:t>
            </w:r>
          </w:p>
        </w:tc>
      </w:tr>
      <w:tr w:rsidR="0071234E" w:rsidRPr="00A940AF" w:rsidTr="0071234E">
        <w:trPr>
          <w:trHeight w:val="4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b/>
                <w:color w:val="000000"/>
                <w:lang w:eastAsia="es-AR"/>
              </w:rPr>
            </w:pPr>
            <w:r w:rsidRPr="00A940AF">
              <w:rPr>
                <w:rFonts w:eastAsia="Times New Roman" w:cstheme="minorHAnsi"/>
                <w:b/>
                <w:color w:val="000000"/>
                <w:lang w:eastAsia="es-AR"/>
              </w:rPr>
              <w:t>G</w:t>
            </w:r>
            <w:r w:rsidRPr="00BF1002">
              <w:rPr>
                <w:rFonts w:eastAsia="Times New Roman" w:cstheme="minorHAnsi"/>
                <w:b/>
                <w:color w:val="000000"/>
                <w:lang w:eastAsia="es-AR"/>
              </w:rPr>
              <w:t>astos totales</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3,55</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3,97</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3,43</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3,28</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4,01</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3,68</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3,68</w:t>
            </w:r>
            <w:r w:rsidR="00506032">
              <w:rPr>
                <w:rFonts w:eastAsia="Times New Roman" w:cstheme="minorHAnsi"/>
                <w:color w:val="000000"/>
                <w:lang w:eastAsia="es-AR"/>
              </w:rPr>
              <w:t>%</w:t>
            </w:r>
          </w:p>
        </w:tc>
        <w:tc>
          <w:tcPr>
            <w:tcW w:w="0" w:type="auto"/>
            <w:tcBorders>
              <w:top w:val="nil"/>
              <w:left w:val="nil"/>
              <w:bottom w:val="single" w:sz="4" w:space="0" w:color="auto"/>
              <w:right w:val="single" w:sz="4" w:space="0" w:color="auto"/>
            </w:tcBorders>
            <w:shd w:val="clear" w:color="auto" w:fill="auto"/>
            <w:noWrap/>
            <w:vAlign w:val="center"/>
            <w:hideMark/>
          </w:tcPr>
          <w:p w:rsidR="00BF1002" w:rsidRPr="00BF1002" w:rsidRDefault="00BF1002" w:rsidP="00A940AF">
            <w:pPr>
              <w:spacing w:after="0" w:line="360" w:lineRule="auto"/>
              <w:jc w:val="both"/>
              <w:rPr>
                <w:rFonts w:eastAsia="Times New Roman" w:cstheme="minorHAnsi"/>
                <w:color w:val="000000"/>
                <w:lang w:eastAsia="es-AR"/>
              </w:rPr>
            </w:pPr>
            <w:r w:rsidRPr="00BF1002">
              <w:rPr>
                <w:rFonts w:eastAsia="Times New Roman" w:cstheme="minorHAnsi"/>
                <w:color w:val="000000"/>
                <w:lang w:eastAsia="es-AR"/>
              </w:rPr>
              <w:t>3,58</w:t>
            </w:r>
            <w:r w:rsidR="00506032">
              <w:rPr>
                <w:rFonts w:eastAsia="Times New Roman" w:cstheme="minorHAnsi"/>
                <w:color w:val="000000"/>
                <w:lang w:eastAsia="es-AR"/>
              </w:rPr>
              <w:t>%</w:t>
            </w:r>
          </w:p>
        </w:tc>
      </w:tr>
    </w:tbl>
    <w:p w:rsidR="00BF1002" w:rsidRPr="00A940AF" w:rsidRDefault="00BF1002" w:rsidP="00A940AF">
      <w:pPr>
        <w:spacing w:line="360" w:lineRule="auto"/>
        <w:jc w:val="both"/>
        <w:rPr>
          <w:rFonts w:cstheme="minorHAnsi"/>
          <w:lang w:val="es-ES"/>
        </w:rPr>
      </w:pPr>
    </w:p>
    <w:p w:rsidR="0071234E" w:rsidRDefault="0071234E" w:rsidP="00506032">
      <w:pPr>
        <w:spacing w:line="360" w:lineRule="auto"/>
        <w:jc w:val="center"/>
        <w:rPr>
          <w:rFonts w:cstheme="minorHAnsi"/>
          <w:lang w:val="es-ES"/>
        </w:rPr>
      </w:pPr>
      <w:r w:rsidRPr="00A940AF">
        <w:rPr>
          <w:rFonts w:cstheme="minorHAnsi"/>
          <w:noProof/>
          <w:lang w:eastAsia="es-AR"/>
        </w:rPr>
        <w:lastRenderedPageBreak/>
        <w:drawing>
          <wp:inline distT="0" distB="0" distL="0" distR="0" wp14:anchorId="6AE9C7F6" wp14:editId="25A91757">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06032" w:rsidRPr="00A940AF" w:rsidRDefault="00506032" w:rsidP="00506032">
      <w:pPr>
        <w:spacing w:line="360" w:lineRule="auto"/>
        <w:jc w:val="center"/>
        <w:rPr>
          <w:rFonts w:cstheme="minorHAnsi"/>
          <w:lang w:val="es-ES"/>
        </w:rPr>
      </w:pPr>
    </w:p>
    <w:p w:rsidR="0071234E" w:rsidRDefault="0071234E" w:rsidP="00A940AF">
      <w:pPr>
        <w:spacing w:line="360" w:lineRule="auto"/>
        <w:jc w:val="both"/>
        <w:rPr>
          <w:rFonts w:cstheme="minorHAnsi"/>
          <w:sz w:val="24"/>
          <w:szCs w:val="24"/>
          <w:lang w:val="es-ES"/>
        </w:rPr>
      </w:pPr>
      <w:r w:rsidRPr="00506032">
        <w:rPr>
          <w:rFonts w:cstheme="minorHAnsi"/>
          <w:sz w:val="24"/>
          <w:szCs w:val="24"/>
          <w:lang w:val="es-ES"/>
        </w:rPr>
        <w:t xml:space="preserve">En este gráfico queda demostrado como varió el porcentaje asignado a salud con respecto a los recursos corrientes y de capital. En líneas generales podemos decir que es un porcentaje bajo. Si bien del 2012 al 2013 aumenta en un 0,43%, desde 2013 hasta 2016 baja, en distintos porcentajes. Recién desde el 2016 al 2017 y de éste último al 2018 hay un pequeño aumento, para volver a </w:t>
      </w:r>
      <w:r w:rsidRPr="00506032">
        <w:rPr>
          <w:rFonts w:cstheme="minorHAnsi"/>
          <w:sz w:val="24"/>
          <w:szCs w:val="24"/>
          <w:u w:val="single"/>
          <w:lang w:val="es-ES"/>
        </w:rPr>
        <w:t>descender en un 0,61%</w:t>
      </w:r>
      <w:r w:rsidRPr="00506032">
        <w:rPr>
          <w:rFonts w:cstheme="minorHAnsi"/>
          <w:sz w:val="24"/>
          <w:szCs w:val="24"/>
          <w:lang w:val="es-ES"/>
        </w:rPr>
        <w:t xml:space="preserve"> hacia el 2019.</w:t>
      </w:r>
    </w:p>
    <w:p w:rsidR="00506032" w:rsidRPr="00506032" w:rsidRDefault="00506032" w:rsidP="00A940AF">
      <w:pPr>
        <w:spacing w:line="360" w:lineRule="auto"/>
        <w:jc w:val="both"/>
        <w:rPr>
          <w:rFonts w:cstheme="minorHAnsi"/>
          <w:sz w:val="24"/>
          <w:szCs w:val="24"/>
          <w:lang w:val="es-ES"/>
        </w:rPr>
      </w:pPr>
    </w:p>
    <w:p w:rsidR="0071234E" w:rsidRPr="00A940AF" w:rsidRDefault="0071234E" w:rsidP="00506032">
      <w:pPr>
        <w:spacing w:line="360" w:lineRule="auto"/>
        <w:jc w:val="center"/>
        <w:rPr>
          <w:rFonts w:cstheme="minorHAnsi"/>
          <w:lang w:val="es-ES"/>
        </w:rPr>
      </w:pPr>
      <w:r w:rsidRPr="00A940AF">
        <w:rPr>
          <w:rFonts w:cstheme="minorHAnsi"/>
          <w:noProof/>
          <w:lang w:eastAsia="es-AR"/>
        </w:rPr>
        <w:drawing>
          <wp:inline distT="0" distB="0" distL="0" distR="0" wp14:anchorId="62F11887" wp14:editId="5646EE86">
            <wp:extent cx="4572000" cy="27432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1002" w:rsidRPr="00506032" w:rsidRDefault="0071234E" w:rsidP="00506032">
      <w:pPr>
        <w:spacing w:line="360" w:lineRule="auto"/>
        <w:jc w:val="both"/>
        <w:rPr>
          <w:rFonts w:cstheme="minorHAnsi"/>
          <w:sz w:val="24"/>
          <w:szCs w:val="24"/>
          <w:u w:val="single"/>
          <w:lang w:val="es-ES"/>
        </w:rPr>
      </w:pPr>
      <w:r w:rsidRPr="00506032">
        <w:rPr>
          <w:rFonts w:cstheme="minorHAnsi"/>
          <w:sz w:val="24"/>
          <w:szCs w:val="24"/>
          <w:lang w:val="es-ES"/>
        </w:rPr>
        <w:t xml:space="preserve">Este gráfico nos permite visualizar el porcentaje asignado a gastos en salud en relación a los gastos totales. </w:t>
      </w:r>
      <w:r w:rsidR="00E10811" w:rsidRPr="00506032">
        <w:rPr>
          <w:rFonts w:cstheme="minorHAnsi"/>
          <w:sz w:val="24"/>
          <w:szCs w:val="24"/>
          <w:lang w:val="es-ES"/>
        </w:rPr>
        <w:t xml:space="preserve"> Podemos ver que desde el 2012 al 2013 hubo un aumento del 0,42%, sin embargo del 2013 al 2015 hay una disminución; luego vemos que del 2015 al 2016 aumenta en un 0,73% para volver a disminuir del 2016 al 2017 en un 0,33%; Entre 2017 y 2018 el porcentaje no varía y </w:t>
      </w:r>
      <w:r w:rsidR="00E10811" w:rsidRPr="00506032">
        <w:rPr>
          <w:rFonts w:cstheme="minorHAnsi"/>
          <w:sz w:val="24"/>
          <w:szCs w:val="24"/>
          <w:u w:val="single"/>
          <w:lang w:val="es-ES"/>
        </w:rPr>
        <w:t>disminuye del 2018 al 2019 en un 0,1%.</w:t>
      </w:r>
      <w:r w:rsidRPr="00506032">
        <w:rPr>
          <w:rFonts w:cstheme="minorHAnsi"/>
          <w:sz w:val="24"/>
          <w:szCs w:val="24"/>
          <w:u w:val="single"/>
          <w:lang w:val="es-ES"/>
        </w:rPr>
        <w:t xml:space="preserve"> </w:t>
      </w:r>
    </w:p>
    <w:p w:rsidR="00BF1002" w:rsidRPr="00506032" w:rsidRDefault="00E10811" w:rsidP="00506032">
      <w:pPr>
        <w:pStyle w:val="Prrafodelista"/>
        <w:numPr>
          <w:ilvl w:val="0"/>
          <w:numId w:val="1"/>
        </w:numPr>
        <w:spacing w:line="360" w:lineRule="auto"/>
        <w:jc w:val="both"/>
        <w:rPr>
          <w:rFonts w:cstheme="minorHAnsi"/>
          <w:sz w:val="24"/>
          <w:szCs w:val="24"/>
          <w:lang w:val="es-ES"/>
        </w:rPr>
      </w:pPr>
      <w:r w:rsidRPr="00506032">
        <w:rPr>
          <w:rFonts w:cstheme="minorHAnsi"/>
          <w:sz w:val="24"/>
          <w:szCs w:val="24"/>
          <w:lang w:val="es-ES"/>
        </w:rPr>
        <w:t>A modo de síntesis, el presupuesto previsto para el 2019 presenta una disminución de estos porcentajes</w:t>
      </w:r>
      <w:r w:rsidR="00A01E70" w:rsidRPr="00506032">
        <w:rPr>
          <w:rFonts w:cstheme="minorHAnsi"/>
          <w:sz w:val="24"/>
          <w:szCs w:val="24"/>
          <w:lang w:val="es-ES"/>
        </w:rPr>
        <w:t xml:space="preserve"> respecto del</w:t>
      </w:r>
      <w:r w:rsidRPr="00506032">
        <w:rPr>
          <w:rFonts w:cstheme="minorHAnsi"/>
          <w:sz w:val="24"/>
          <w:szCs w:val="24"/>
          <w:lang w:val="es-ES"/>
        </w:rPr>
        <w:t xml:space="preserve"> año 2018. </w:t>
      </w:r>
      <w:r w:rsidR="00A01E70" w:rsidRPr="00506032">
        <w:rPr>
          <w:rFonts w:cstheme="minorHAnsi"/>
          <w:sz w:val="24"/>
          <w:szCs w:val="24"/>
          <w:lang w:val="es-ES"/>
        </w:rPr>
        <w:t xml:space="preserve">En relación </w:t>
      </w:r>
      <w:r w:rsidRPr="00506032">
        <w:rPr>
          <w:rFonts w:cstheme="minorHAnsi"/>
          <w:sz w:val="24"/>
          <w:szCs w:val="24"/>
          <w:lang w:val="es-ES"/>
        </w:rPr>
        <w:t>a los recursos corrientes y de capital disminuye un 0,6 % y con respecto al gasto total disminuye en un 0,1 %.</w:t>
      </w:r>
    </w:p>
    <w:p w:rsidR="00BF1002" w:rsidRPr="00506032" w:rsidRDefault="00BF1002" w:rsidP="00506032">
      <w:pPr>
        <w:spacing w:line="360" w:lineRule="auto"/>
        <w:jc w:val="both"/>
        <w:rPr>
          <w:rFonts w:cstheme="minorHAnsi"/>
          <w:sz w:val="24"/>
          <w:szCs w:val="24"/>
          <w:lang w:val="es-ES"/>
        </w:rPr>
      </w:pPr>
    </w:p>
    <w:p w:rsidR="00E143DE" w:rsidRPr="00506032" w:rsidRDefault="00CA4345" w:rsidP="00506032">
      <w:pPr>
        <w:spacing w:line="360" w:lineRule="auto"/>
        <w:jc w:val="both"/>
        <w:rPr>
          <w:rFonts w:cstheme="minorHAnsi"/>
          <w:sz w:val="24"/>
          <w:szCs w:val="24"/>
          <w:u w:val="single"/>
          <w:lang w:val="es-ES"/>
        </w:rPr>
      </w:pPr>
      <w:r w:rsidRPr="00506032">
        <w:rPr>
          <w:rFonts w:cstheme="minorHAnsi"/>
          <w:sz w:val="24"/>
          <w:szCs w:val="24"/>
          <w:u w:val="single"/>
          <w:lang w:val="es-ES"/>
        </w:rPr>
        <w:t>Comparación presupuesto 2018-2019</w:t>
      </w:r>
    </w:p>
    <w:p w:rsidR="00CA4345" w:rsidRDefault="00CA4345" w:rsidP="00506032">
      <w:pPr>
        <w:spacing w:line="360" w:lineRule="auto"/>
        <w:jc w:val="both"/>
        <w:rPr>
          <w:rFonts w:cstheme="minorHAnsi"/>
          <w:sz w:val="24"/>
          <w:szCs w:val="24"/>
        </w:rPr>
      </w:pPr>
      <w:r w:rsidRPr="00506032">
        <w:rPr>
          <w:rFonts w:cstheme="minorHAnsi"/>
          <w:sz w:val="24"/>
          <w:szCs w:val="24"/>
          <w:lang w:val="es-ES"/>
        </w:rPr>
        <w:t xml:space="preserve">Tomando en cuenta a nivel nacional la comparación del </w:t>
      </w:r>
      <w:r w:rsidRPr="00506032">
        <w:rPr>
          <w:rFonts w:cstheme="minorHAnsi"/>
          <w:sz w:val="24"/>
          <w:szCs w:val="24"/>
          <w:u w:val="single"/>
          <w:lang w:val="es-ES"/>
        </w:rPr>
        <w:t>gasto por finalidad - función</w:t>
      </w:r>
      <w:r w:rsidRPr="00506032">
        <w:rPr>
          <w:rFonts w:cstheme="minorHAnsi"/>
          <w:sz w:val="24"/>
          <w:szCs w:val="24"/>
          <w:lang w:val="es-ES"/>
        </w:rPr>
        <w:t xml:space="preserve"> entre el 2018 y el 2019 vemos que, el gasto en 2018 fue de $ </w:t>
      </w:r>
      <w:r w:rsidRPr="00506032">
        <w:rPr>
          <w:rFonts w:cstheme="minorHAnsi"/>
          <w:sz w:val="24"/>
          <w:szCs w:val="24"/>
        </w:rPr>
        <w:t xml:space="preserve">115.704.163.342  mientras que en el 2019 se presupuestó $149.697.492.929. Es decir, hubo un aumento de $33.993.329.587, lo que equivale a un 29,4%. </w:t>
      </w:r>
    </w:p>
    <w:p w:rsidR="00E00B1E" w:rsidRDefault="00506032" w:rsidP="000B487D">
      <w:pPr>
        <w:spacing w:line="360" w:lineRule="auto"/>
        <w:jc w:val="both"/>
        <w:rPr>
          <w:rFonts w:cstheme="minorHAnsi"/>
          <w:color w:val="000000"/>
          <w:sz w:val="24"/>
          <w:szCs w:val="24"/>
          <w:shd w:val="clear" w:color="auto" w:fill="FFFFFF"/>
        </w:rPr>
      </w:pPr>
      <w:r>
        <w:rPr>
          <w:rFonts w:cstheme="minorHAnsi"/>
          <w:sz w:val="24"/>
          <w:szCs w:val="24"/>
        </w:rPr>
        <w:t xml:space="preserve">Si bien este dato aislado es algo positivo, </w:t>
      </w:r>
      <w:r w:rsidR="00270AA9">
        <w:rPr>
          <w:rFonts w:cstheme="minorHAnsi"/>
          <w:sz w:val="24"/>
          <w:szCs w:val="24"/>
        </w:rPr>
        <w:t>a nuestro parecer hay que entrecruzarlo con un dato de suma importancia, la inflación.</w:t>
      </w:r>
      <w:r w:rsidR="00E00B1E">
        <w:rPr>
          <w:rFonts w:cstheme="minorHAnsi"/>
          <w:sz w:val="24"/>
          <w:szCs w:val="24"/>
        </w:rPr>
        <w:t xml:space="preserve"> </w:t>
      </w:r>
      <w:r w:rsidR="00E00B1E">
        <w:rPr>
          <w:rFonts w:eastAsia="Times New Roman" w:cstheme="minorHAnsi"/>
          <w:bCs/>
          <w:color w:val="222222"/>
          <w:kern w:val="36"/>
          <w:sz w:val="24"/>
          <w:szCs w:val="24"/>
          <w:lang w:eastAsia="es-AR"/>
        </w:rPr>
        <w:t>Como para tener una referencia s</w:t>
      </w:r>
      <w:r w:rsidR="00E00B1E" w:rsidRPr="00CD34C2">
        <w:rPr>
          <w:rFonts w:eastAsia="Times New Roman" w:cstheme="minorHAnsi"/>
          <w:bCs/>
          <w:color w:val="222222"/>
          <w:kern w:val="36"/>
          <w:sz w:val="24"/>
          <w:szCs w:val="24"/>
          <w:lang w:eastAsia="es-AR"/>
        </w:rPr>
        <w:t>egún el INDEC, la inflación de 2018 fue de 47,6%</w:t>
      </w:r>
      <w:r w:rsidR="00E00B1E">
        <w:rPr>
          <w:rFonts w:eastAsia="Times New Roman" w:cstheme="minorHAnsi"/>
          <w:bCs/>
          <w:color w:val="222222"/>
          <w:kern w:val="36"/>
          <w:sz w:val="24"/>
          <w:szCs w:val="24"/>
          <w:lang w:eastAsia="es-AR"/>
        </w:rPr>
        <w:t xml:space="preserve"> (1). En relación a este año hay distintas proyecciones sobre cuál será este porcentaje. En este sentido hay distintas opiniones, por ejemplo, </w:t>
      </w:r>
      <w:r w:rsidR="00E00B1E" w:rsidRPr="00E00B1E">
        <w:rPr>
          <w:rFonts w:cstheme="minorHAnsi"/>
          <w:color w:val="000000"/>
          <w:sz w:val="24"/>
          <w:szCs w:val="24"/>
          <w:shd w:val="clear" w:color="auto" w:fill="FFFFFF"/>
        </w:rPr>
        <w:t>el FMI estima que la inflación llegará al 30,5%</w:t>
      </w:r>
      <w:r w:rsidR="00E00B1E">
        <w:rPr>
          <w:rFonts w:cstheme="minorHAnsi"/>
          <w:color w:val="000000"/>
          <w:sz w:val="24"/>
          <w:szCs w:val="24"/>
          <w:shd w:val="clear" w:color="auto" w:fill="FFFFFF"/>
        </w:rPr>
        <w:t xml:space="preserve">(2); la consultora Ecolatina prevé que la inflación alcance un 39% (3); mientras que </w:t>
      </w:r>
      <w:r w:rsidR="00B327E3">
        <w:rPr>
          <w:rFonts w:cstheme="minorHAnsi"/>
          <w:color w:val="000000"/>
          <w:sz w:val="24"/>
          <w:szCs w:val="24"/>
          <w:shd w:val="clear" w:color="auto" w:fill="FFFFFF"/>
        </w:rPr>
        <w:t>desde la consultora Orlando J. Ferreres y Asociados será de casi 40%(4).</w:t>
      </w:r>
    </w:p>
    <w:p w:rsidR="00CA4345" w:rsidRPr="00B327E3" w:rsidRDefault="00B327E3" w:rsidP="000B487D">
      <w:pPr>
        <w:spacing w:line="360" w:lineRule="auto"/>
        <w:jc w:val="both"/>
        <w:rPr>
          <w:rFonts w:cstheme="minorHAnsi"/>
          <w:color w:val="000000"/>
          <w:sz w:val="24"/>
          <w:szCs w:val="24"/>
          <w:shd w:val="clear" w:color="auto" w:fill="FFFFFF"/>
        </w:rPr>
      </w:pPr>
      <w:r>
        <w:rPr>
          <w:rFonts w:cstheme="minorHAnsi"/>
          <w:color w:val="000000"/>
          <w:sz w:val="24"/>
          <w:szCs w:val="24"/>
          <w:shd w:val="clear" w:color="auto" w:fill="FFFFFF"/>
        </w:rPr>
        <w:t>Con esto queremos dejar en evidencia que este aumento porcentual de los gastos previstos en el presupuesto no significa que realmente se esté aumentando la partida en concepto de salud. Particularmente coincidimos en que el presupuesto es un reflejo de la política llevada adelante por el gobierno de turno, en este sentido, y según lo que pudimos analizar, no creemos que sea considerada una prioridad el acceso a la Salud, los números están a la vista.</w:t>
      </w:r>
    </w:p>
    <w:p w:rsidR="00B327E3" w:rsidRPr="000B487D" w:rsidRDefault="00B327E3" w:rsidP="00CD34C2">
      <w:pPr>
        <w:shd w:val="clear" w:color="auto" w:fill="FFFFFF"/>
        <w:spacing w:after="0" w:line="288" w:lineRule="atLeast"/>
        <w:outlineLvl w:val="0"/>
        <w:rPr>
          <w:rFonts w:cstheme="minorHAnsi"/>
          <w:sz w:val="24"/>
          <w:szCs w:val="24"/>
        </w:rPr>
      </w:pPr>
      <w:r w:rsidRPr="000B487D">
        <w:rPr>
          <w:rFonts w:cstheme="minorHAnsi"/>
          <w:b/>
          <w:sz w:val="24"/>
          <w:szCs w:val="24"/>
        </w:rPr>
        <w:t>Referencias</w:t>
      </w:r>
      <w:r w:rsidRPr="000B487D">
        <w:rPr>
          <w:rFonts w:cstheme="minorHAnsi"/>
          <w:sz w:val="24"/>
          <w:szCs w:val="24"/>
        </w:rPr>
        <w:t>:</w:t>
      </w:r>
    </w:p>
    <w:p w:rsidR="004D230B" w:rsidRDefault="00E00B1E" w:rsidP="00B327E3">
      <w:pPr>
        <w:shd w:val="clear" w:color="auto" w:fill="FFFFFF"/>
        <w:spacing w:after="0" w:line="288" w:lineRule="atLeast"/>
        <w:outlineLvl w:val="0"/>
        <w:rPr>
          <w:rFonts w:eastAsia="Times New Roman" w:cstheme="minorHAnsi"/>
          <w:b/>
          <w:bCs/>
          <w:color w:val="222222"/>
          <w:kern w:val="36"/>
          <w:sz w:val="24"/>
          <w:szCs w:val="24"/>
          <w:lang w:eastAsia="es-AR"/>
        </w:rPr>
      </w:pPr>
      <w:r w:rsidRPr="000B487D">
        <w:rPr>
          <w:rFonts w:cstheme="minorHAnsi"/>
          <w:sz w:val="24"/>
          <w:szCs w:val="24"/>
        </w:rPr>
        <w:t xml:space="preserve">(1) </w:t>
      </w:r>
      <w:hyperlink r:id="rId9" w:history="1">
        <w:r w:rsidR="00CD34C2" w:rsidRPr="000B487D">
          <w:rPr>
            <w:rStyle w:val="Hipervnculo"/>
            <w:rFonts w:cstheme="minorHAnsi"/>
            <w:sz w:val="24"/>
            <w:szCs w:val="24"/>
          </w:rPr>
          <w:t>https://www.indec.gob.ar/uploads/informesdeprensa/ipc_01_19.pdf</w:t>
        </w:r>
      </w:hyperlink>
      <w:r w:rsidR="00B327E3" w:rsidRPr="000B487D">
        <w:rPr>
          <w:rFonts w:eastAsia="Times New Roman" w:cstheme="minorHAnsi"/>
          <w:b/>
          <w:bCs/>
          <w:color w:val="222222"/>
          <w:kern w:val="36"/>
          <w:sz w:val="24"/>
          <w:szCs w:val="24"/>
          <w:lang w:eastAsia="es-AR"/>
        </w:rPr>
        <w:t xml:space="preserve"> ; </w:t>
      </w:r>
      <w:r w:rsidRPr="000B487D">
        <w:rPr>
          <w:rFonts w:cstheme="minorHAnsi"/>
          <w:sz w:val="24"/>
          <w:szCs w:val="24"/>
        </w:rPr>
        <w:t>(</w:t>
      </w:r>
      <w:r w:rsidR="00B327E3" w:rsidRPr="000B487D">
        <w:rPr>
          <w:rFonts w:cstheme="minorHAnsi"/>
          <w:sz w:val="24"/>
          <w:szCs w:val="24"/>
        </w:rPr>
        <w:t>2)</w:t>
      </w:r>
      <w:hyperlink r:id="rId10" w:history="1">
        <w:r w:rsidR="00B327E3" w:rsidRPr="000B487D">
          <w:rPr>
            <w:rStyle w:val="Hipervnculo"/>
            <w:rFonts w:cstheme="minorHAnsi"/>
            <w:sz w:val="24"/>
            <w:szCs w:val="24"/>
          </w:rPr>
          <w:t>https://www.lanacion.com.ar/economia/dolar/a-cuanto-llegara-dolar-inflacion-2019-según nid2237795</w:t>
        </w:r>
      </w:hyperlink>
      <w:r w:rsidR="00B327E3" w:rsidRPr="000B487D">
        <w:rPr>
          <w:rFonts w:eastAsia="Times New Roman" w:cstheme="minorHAnsi"/>
          <w:b/>
          <w:bCs/>
          <w:color w:val="222222"/>
          <w:kern w:val="36"/>
          <w:sz w:val="24"/>
          <w:szCs w:val="24"/>
          <w:lang w:eastAsia="es-AR"/>
        </w:rPr>
        <w:t xml:space="preserve"> ; </w:t>
      </w:r>
    </w:p>
    <w:p w:rsidR="00E00B1E" w:rsidRPr="000B487D" w:rsidRDefault="00E00B1E" w:rsidP="00B327E3">
      <w:pPr>
        <w:shd w:val="clear" w:color="auto" w:fill="FFFFFF"/>
        <w:spacing w:after="0" w:line="288" w:lineRule="atLeast"/>
        <w:outlineLvl w:val="0"/>
        <w:rPr>
          <w:rFonts w:eastAsia="Times New Roman" w:cstheme="minorHAnsi"/>
          <w:b/>
          <w:bCs/>
          <w:color w:val="222222"/>
          <w:kern w:val="36"/>
          <w:sz w:val="24"/>
          <w:szCs w:val="24"/>
          <w:lang w:eastAsia="es-AR"/>
        </w:rPr>
      </w:pPr>
      <w:r w:rsidRPr="000B487D">
        <w:rPr>
          <w:rFonts w:cstheme="minorHAnsi"/>
          <w:sz w:val="24"/>
          <w:szCs w:val="24"/>
        </w:rPr>
        <w:t xml:space="preserve">(3) </w:t>
      </w:r>
      <w:hyperlink r:id="rId11" w:history="1">
        <w:r w:rsidRPr="000B487D">
          <w:rPr>
            <w:rStyle w:val="Hipervnculo"/>
            <w:rFonts w:cstheme="minorHAnsi"/>
            <w:sz w:val="24"/>
            <w:szCs w:val="24"/>
          </w:rPr>
          <w:t>https://www.pressreader.com/</w:t>
        </w:r>
      </w:hyperlink>
      <w:r w:rsidR="00B327E3" w:rsidRPr="000B487D">
        <w:rPr>
          <w:rFonts w:eastAsia="Times New Roman" w:cstheme="minorHAnsi"/>
          <w:b/>
          <w:bCs/>
          <w:color w:val="222222"/>
          <w:kern w:val="36"/>
          <w:sz w:val="24"/>
          <w:szCs w:val="24"/>
          <w:lang w:eastAsia="es-AR"/>
        </w:rPr>
        <w:t xml:space="preserve"> ; </w:t>
      </w:r>
      <w:r w:rsidR="00B327E3" w:rsidRPr="000B487D">
        <w:rPr>
          <w:rFonts w:cstheme="minorHAnsi"/>
          <w:sz w:val="24"/>
          <w:szCs w:val="24"/>
        </w:rPr>
        <w:t>(4)</w:t>
      </w:r>
      <w:hyperlink r:id="rId12" w:history="1">
        <w:r w:rsidRPr="000B487D">
          <w:rPr>
            <w:rStyle w:val="Hipervnculo"/>
            <w:rFonts w:cstheme="minorHAnsi"/>
            <w:sz w:val="24"/>
            <w:szCs w:val="24"/>
          </w:rPr>
          <w:t>https://www.cronista.com/economiapolitica/Tras-inflacion-de-47-analistas-llevan-al-alza-previsiones-para-2019-20190416-0065.html</w:t>
        </w:r>
      </w:hyperlink>
      <w:r w:rsidR="00B327E3" w:rsidRPr="000B487D">
        <w:rPr>
          <w:rFonts w:cstheme="minorHAnsi"/>
          <w:sz w:val="24"/>
          <w:szCs w:val="24"/>
        </w:rPr>
        <w:t>.</w:t>
      </w:r>
    </w:p>
    <w:sectPr w:rsidR="00E00B1E" w:rsidRPr="000B48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2691"/>
    <w:multiLevelType w:val="hybridMultilevel"/>
    <w:tmpl w:val="78C0C0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7A"/>
    <w:rsid w:val="000B487D"/>
    <w:rsid w:val="000E25F7"/>
    <w:rsid w:val="00270AA9"/>
    <w:rsid w:val="003808CB"/>
    <w:rsid w:val="003C789A"/>
    <w:rsid w:val="00420FAA"/>
    <w:rsid w:val="004D230B"/>
    <w:rsid w:val="00506032"/>
    <w:rsid w:val="0071234E"/>
    <w:rsid w:val="00905EFE"/>
    <w:rsid w:val="00A01E70"/>
    <w:rsid w:val="00A940AF"/>
    <w:rsid w:val="00AF517A"/>
    <w:rsid w:val="00B327E3"/>
    <w:rsid w:val="00BF1002"/>
    <w:rsid w:val="00CA4345"/>
    <w:rsid w:val="00CD34C2"/>
    <w:rsid w:val="00DC44C0"/>
    <w:rsid w:val="00E00B1E"/>
    <w:rsid w:val="00E10811"/>
    <w:rsid w:val="00E143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D3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43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3DE"/>
    <w:rPr>
      <w:rFonts w:ascii="Tahoma" w:hAnsi="Tahoma" w:cs="Tahoma"/>
      <w:sz w:val="16"/>
      <w:szCs w:val="16"/>
    </w:rPr>
  </w:style>
  <w:style w:type="paragraph" w:styleId="Prrafodelista">
    <w:name w:val="List Paragraph"/>
    <w:basedOn w:val="Normal"/>
    <w:uiPriority w:val="34"/>
    <w:qFormat/>
    <w:rsid w:val="00A01E70"/>
    <w:pPr>
      <w:ind w:left="720"/>
      <w:contextualSpacing/>
    </w:pPr>
  </w:style>
  <w:style w:type="character" w:customStyle="1" w:styleId="Ttulo1Car">
    <w:name w:val="Título 1 Car"/>
    <w:basedOn w:val="Fuentedeprrafopredeter"/>
    <w:link w:val="Ttulo1"/>
    <w:uiPriority w:val="9"/>
    <w:rsid w:val="00CD34C2"/>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unhideWhenUsed/>
    <w:rsid w:val="00CD34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D3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43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3DE"/>
    <w:rPr>
      <w:rFonts w:ascii="Tahoma" w:hAnsi="Tahoma" w:cs="Tahoma"/>
      <w:sz w:val="16"/>
      <w:szCs w:val="16"/>
    </w:rPr>
  </w:style>
  <w:style w:type="paragraph" w:styleId="Prrafodelista">
    <w:name w:val="List Paragraph"/>
    <w:basedOn w:val="Normal"/>
    <w:uiPriority w:val="34"/>
    <w:qFormat/>
    <w:rsid w:val="00A01E70"/>
    <w:pPr>
      <w:ind w:left="720"/>
      <w:contextualSpacing/>
    </w:pPr>
  </w:style>
  <w:style w:type="character" w:customStyle="1" w:styleId="Ttulo1Car">
    <w:name w:val="Título 1 Car"/>
    <w:basedOn w:val="Fuentedeprrafopredeter"/>
    <w:link w:val="Ttulo1"/>
    <w:uiPriority w:val="9"/>
    <w:rsid w:val="00CD34C2"/>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unhideWhenUsed/>
    <w:rsid w:val="00CD34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2596">
      <w:bodyDiv w:val="1"/>
      <w:marLeft w:val="0"/>
      <w:marRight w:val="0"/>
      <w:marTop w:val="0"/>
      <w:marBottom w:val="0"/>
      <w:divBdr>
        <w:top w:val="none" w:sz="0" w:space="0" w:color="auto"/>
        <w:left w:val="none" w:sz="0" w:space="0" w:color="auto"/>
        <w:bottom w:val="none" w:sz="0" w:space="0" w:color="auto"/>
        <w:right w:val="none" w:sz="0" w:space="0" w:color="auto"/>
      </w:divBdr>
    </w:div>
    <w:div w:id="217596240">
      <w:bodyDiv w:val="1"/>
      <w:marLeft w:val="0"/>
      <w:marRight w:val="0"/>
      <w:marTop w:val="0"/>
      <w:marBottom w:val="0"/>
      <w:divBdr>
        <w:top w:val="none" w:sz="0" w:space="0" w:color="auto"/>
        <w:left w:val="none" w:sz="0" w:space="0" w:color="auto"/>
        <w:bottom w:val="none" w:sz="0" w:space="0" w:color="auto"/>
        <w:right w:val="none" w:sz="0" w:space="0" w:color="auto"/>
      </w:divBdr>
    </w:div>
    <w:div w:id="1275861931">
      <w:bodyDiv w:val="1"/>
      <w:marLeft w:val="0"/>
      <w:marRight w:val="0"/>
      <w:marTop w:val="0"/>
      <w:marBottom w:val="0"/>
      <w:divBdr>
        <w:top w:val="none" w:sz="0" w:space="0" w:color="auto"/>
        <w:left w:val="none" w:sz="0" w:space="0" w:color="auto"/>
        <w:bottom w:val="none" w:sz="0" w:space="0" w:color="auto"/>
        <w:right w:val="none" w:sz="0" w:space="0" w:color="auto"/>
      </w:divBdr>
    </w:div>
    <w:div w:id="1283850674">
      <w:bodyDiv w:val="1"/>
      <w:marLeft w:val="0"/>
      <w:marRight w:val="0"/>
      <w:marTop w:val="0"/>
      <w:marBottom w:val="0"/>
      <w:divBdr>
        <w:top w:val="none" w:sz="0" w:space="0" w:color="auto"/>
        <w:left w:val="none" w:sz="0" w:space="0" w:color="auto"/>
        <w:bottom w:val="none" w:sz="0" w:space="0" w:color="auto"/>
        <w:right w:val="none" w:sz="0" w:space="0" w:color="auto"/>
      </w:divBdr>
    </w:div>
    <w:div w:id="1635793544">
      <w:bodyDiv w:val="1"/>
      <w:marLeft w:val="0"/>
      <w:marRight w:val="0"/>
      <w:marTop w:val="0"/>
      <w:marBottom w:val="0"/>
      <w:divBdr>
        <w:top w:val="none" w:sz="0" w:space="0" w:color="auto"/>
        <w:left w:val="none" w:sz="0" w:space="0" w:color="auto"/>
        <w:bottom w:val="none" w:sz="0" w:space="0" w:color="auto"/>
        <w:right w:val="none" w:sz="0" w:space="0" w:color="auto"/>
      </w:divBdr>
    </w:div>
    <w:div w:id="20082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s://www.cronista.com/economiapolitica/Tras-inflacion-de-47-analistas-llevan-al-alza-previsiones-para-2019-20190416-00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pressreader.com/" TargetMode="External"/><Relationship Id="rId5" Type="http://schemas.openxmlformats.org/officeDocument/2006/relationships/webSettings" Target="webSettings.xml"/><Relationship Id="rId10" Type="http://schemas.openxmlformats.org/officeDocument/2006/relationships/hyperlink" Target="https://www.lanacion.com.ar/economia/dolar/a-cuanto-llegara-dolar-inflacion-2019-seg&#250;n%20nid2237795" TargetMode="External"/><Relationship Id="rId4" Type="http://schemas.openxmlformats.org/officeDocument/2006/relationships/settings" Target="settings.xml"/><Relationship Id="rId9" Type="http://schemas.openxmlformats.org/officeDocument/2006/relationships/hyperlink" Target="https://www.indec.gob.ar/uploads/informesdeprensa/ipc_01_19.pdf"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OTEBOOK\Desktop\grafico%20finanz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OTEBOOK\Desktop\grafico%20finanz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OTEBOOK\Desktop\grafico%20finanz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Hoja1!$A$5</c:f>
              <c:strCache>
                <c:ptCount val="1"/>
                <c:pt idx="0">
                  <c:v>recursos totales</c:v>
                </c:pt>
              </c:strCache>
            </c:strRef>
          </c:tx>
          <c:spPr>
            <a:solidFill>
              <a:schemeClr val="tx2">
                <a:lumMod val="40000"/>
                <a:lumOff val="60000"/>
              </a:schemeClr>
            </a:solidFill>
          </c:spPr>
          <c:invertIfNegative val="0"/>
          <c:cat>
            <c:numRef>
              <c:f>Hoja1!$B$4:$I$4</c:f>
              <c:numCache>
                <c:formatCode>General</c:formatCode>
                <c:ptCount val="8"/>
                <c:pt idx="0">
                  <c:v>2012</c:v>
                </c:pt>
                <c:pt idx="1">
                  <c:v>2013</c:v>
                </c:pt>
                <c:pt idx="2">
                  <c:v>2014</c:v>
                </c:pt>
                <c:pt idx="3">
                  <c:v>2015</c:v>
                </c:pt>
                <c:pt idx="4">
                  <c:v>2016</c:v>
                </c:pt>
                <c:pt idx="5">
                  <c:v>2017</c:v>
                </c:pt>
                <c:pt idx="6">
                  <c:v>2018</c:v>
                </c:pt>
                <c:pt idx="7">
                  <c:v>2019</c:v>
                </c:pt>
              </c:numCache>
            </c:numRef>
          </c:cat>
          <c:val>
            <c:numRef>
              <c:f>Hoja1!$B$5:$I$5</c:f>
              <c:numCache>
                <c:formatCode>#,##0</c:formatCode>
                <c:ptCount val="8"/>
                <c:pt idx="0">
                  <c:v>506576200857</c:v>
                </c:pt>
                <c:pt idx="1">
                  <c:v>629216685298</c:v>
                </c:pt>
                <c:pt idx="2">
                  <c:v>860411622214</c:v>
                </c:pt>
                <c:pt idx="3">
                  <c:v>1202006463046</c:v>
                </c:pt>
                <c:pt idx="4">
                  <c:v>1471717919281</c:v>
                </c:pt>
                <c:pt idx="5">
                  <c:v>1882818496302</c:v>
                </c:pt>
                <c:pt idx="6">
                  <c:v>2225544243077</c:v>
                </c:pt>
                <c:pt idx="7">
                  <c:v>3572026538833</c:v>
                </c:pt>
              </c:numCache>
            </c:numRef>
          </c:val>
        </c:ser>
        <c:ser>
          <c:idx val="1"/>
          <c:order val="1"/>
          <c:tx>
            <c:strRef>
              <c:f>Hoja1!$A$6</c:f>
              <c:strCache>
                <c:ptCount val="1"/>
                <c:pt idx="0">
                  <c:v>gastos totales</c:v>
                </c:pt>
              </c:strCache>
            </c:strRef>
          </c:tx>
          <c:spPr>
            <a:solidFill>
              <a:schemeClr val="accent2">
                <a:lumMod val="40000"/>
                <a:lumOff val="60000"/>
              </a:schemeClr>
            </a:solidFill>
          </c:spPr>
          <c:invertIfNegative val="0"/>
          <c:val>
            <c:numRef>
              <c:f>Hoja1!$B$6:$I$6</c:f>
              <c:numCache>
                <c:formatCode>#,##0</c:formatCode>
                <c:ptCount val="8"/>
                <c:pt idx="0">
                  <c:v>505129953435</c:v>
                </c:pt>
                <c:pt idx="1">
                  <c:v>628629218165</c:v>
                </c:pt>
                <c:pt idx="2">
                  <c:v>859542689425</c:v>
                </c:pt>
                <c:pt idx="3">
                  <c:v>1251630248497</c:v>
                </c:pt>
                <c:pt idx="4">
                  <c:v>1569412091951</c:v>
                </c:pt>
                <c:pt idx="5">
                  <c:v>2363619870574</c:v>
                </c:pt>
                <c:pt idx="6">
                  <c:v>2904414117468</c:v>
                </c:pt>
                <c:pt idx="7">
                  <c:v>4172312239441</c:v>
                </c:pt>
              </c:numCache>
            </c:numRef>
          </c:val>
        </c:ser>
        <c:ser>
          <c:idx val="2"/>
          <c:order val="2"/>
          <c:tx>
            <c:strRef>
              <c:f>Hoja1!$A$7</c:f>
              <c:strCache>
                <c:ptCount val="1"/>
                <c:pt idx="0">
                  <c:v>gastos salud </c:v>
                </c:pt>
              </c:strCache>
            </c:strRef>
          </c:tx>
          <c:spPr>
            <a:solidFill>
              <a:srgbClr val="E440A9"/>
            </a:solidFill>
          </c:spPr>
          <c:invertIfNegative val="0"/>
          <c:val>
            <c:numRef>
              <c:f>Hoja1!$B$7:$I$7</c:f>
              <c:numCache>
                <c:formatCode>#,##0</c:formatCode>
                <c:ptCount val="8"/>
                <c:pt idx="0">
                  <c:v>17934712430</c:v>
                </c:pt>
                <c:pt idx="1">
                  <c:v>24983040627</c:v>
                </c:pt>
                <c:pt idx="2">
                  <c:v>29561319051</c:v>
                </c:pt>
                <c:pt idx="3">
                  <c:v>41158547311</c:v>
                </c:pt>
                <c:pt idx="4">
                  <c:v>62941573860</c:v>
                </c:pt>
                <c:pt idx="5">
                  <c:v>87022563002</c:v>
                </c:pt>
                <c:pt idx="6">
                  <c:v>106961032668</c:v>
                </c:pt>
                <c:pt idx="7">
                  <c:v>149697492929</c:v>
                </c:pt>
              </c:numCache>
            </c:numRef>
          </c:val>
        </c:ser>
        <c:dLbls>
          <c:showLegendKey val="0"/>
          <c:showVal val="0"/>
          <c:showCatName val="0"/>
          <c:showSerName val="0"/>
          <c:showPercent val="0"/>
          <c:showBubbleSize val="0"/>
        </c:dLbls>
        <c:gapWidth val="150"/>
        <c:axId val="148704256"/>
        <c:axId val="148607744"/>
      </c:barChart>
      <c:catAx>
        <c:axId val="148704256"/>
        <c:scaling>
          <c:orientation val="minMax"/>
        </c:scaling>
        <c:delete val="0"/>
        <c:axPos val="b"/>
        <c:numFmt formatCode="General" sourceLinked="1"/>
        <c:majorTickMark val="out"/>
        <c:minorTickMark val="none"/>
        <c:tickLblPos val="nextTo"/>
        <c:crossAx val="148607744"/>
        <c:crosses val="autoZero"/>
        <c:auto val="1"/>
        <c:lblAlgn val="ctr"/>
        <c:lblOffset val="100"/>
        <c:noMultiLvlLbl val="0"/>
      </c:catAx>
      <c:valAx>
        <c:axId val="148607744"/>
        <c:scaling>
          <c:orientation val="minMax"/>
        </c:scaling>
        <c:delete val="0"/>
        <c:axPos val="l"/>
        <c:majorGridlines/>
        <c:numFmt formatCode="#,##0" sourceLinked="1"/>
        <c:majorTickMark val="out"/>
        <c:minorTickMark val="none"/>
        <c:tickLblPos val="nextTo"/>
        <c:crossAx val="148704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Hoja2!$A$5</c:f>
              <c:strCache>
                <c:ptCount val="1"/>
                <c:pt idx="0">
                  <c:v>recursos</c:v>
                </c:pt>
              </c:strCache>
            </c:strRef>
          </c:tx>
          <c:marker>
            <c:symbol val="none"/>
          </c:marker>
          <c:cat>
            <c:numRef>
              <c:f>Hoja2!$B$4:$I$4</c:f>
              <c:numCache>
                <c:formatCode>General</c:formatCode>
                <c:ptCount val="8"/>
                <c:pt idx="0">
                  <c:v>2012</c:v>
                </c:pt>
                <c:pt idx="1">
                  <c:v>2013</c:v>
                </c:pt>
                <c:pt idx="2">
                  <c:v>2014</c:v>
                </c:pt>
                <c:pt idx="3">
                  <c:v>2015</c:v>
                </c:pt>
                <c:pt idx="4">
                  <c:v>2016</c:v>
                </c:pt>
                <c:pt idx="5">
                  <c:v>2017</c:v>
                </c:pt>
                <c:pt idx="6">
                  <c:v>2018</c:v>
                </c:pt>
                <c:pt idx="7">
                  <c:v>2019</c:v>
                </c:pt>
              </c:numCache>
            </c:numRef>
          </c:cat>
          <c:val>
            <c:numRef>
              <c:f>Hoja2!$B$5:$I$5</c:f>
              <c:numCache>
                <c:formatCode>General</c:formatCode>
                <c:ptCount val="8"/>
                <c:pt idx="0">
                  <c:v>3.54</c:v>
                </c:pt>
                <c:pt idx="1">
                  <c:v>3.97</c:v>
                </c:pt>
                <c:pt idx="2">
                  <c:v>3.43</c:v>
                </c:pt>
                <c:pt idx="3">
                  <c:v>3.42</c:v>
                </c:pt>
                <c:pt idx="4">
                  <c:v>4.2699999999999996</c:v>
                </c:pt>
                <c:pt idx="5">
                  <c:v>4.62</c:v>
                </c:pt>
                <c:pt idx="6">
                  <c:v>4.8</c:v>
                </c:pt>
                <c:pt idx="7">
                  <c:v>4.1900000000000004</c:v>
                </c:pt>
              </c:numCache>
            </c:numRef>
          </c:val>
          <c:smooth val="0"/>
        </c:ser>
        <c:dLbls>
          <c:showLegendKey val="0"/>
          <c:showVal val="0"/>
          <c:showCatName val="0"/>
          <c:showSerName val="0"/>
          <c:showPercent val="0"/>
          <c:showBubbleSize val="0"/>
        </c:dLbls>
        <c:marker val="1"/>
        <c:smooth val="0"/>
        <c:axId val="148624128"/>
        <c:axId val="148625664"/>
      </c:lineChart>
      <c:catAx>
        <c:axId val="148624128"/>
        <c:scaling>
          <c:orientation val="minMax"/>
        </c:scaling>
        <c:delete val="0"/>
        <c:axPos val="b"/>
        <c:numFmt formatCode="General" sourceLinked="1"/>
        <c:majorTickMark val="none"/>
        <c:minorTickMark val="none"/>
        <c:tickLblPos val="nextTo"/>
        <c:crossAx val="148625664"/>
        <c:crosses val="autoZero"/>
        <c:auto val="1"/>
        <c:lblAlgn val="ctr"/>
        <c:lblOffset val="100"/>
        <c:noMultiLvlLbl val="0"/>
      </c:catAx>
      <c:valAx>
        <c:axId val="148625664"/>
        <c:scaling>
          <c:orientation val="minMax"/>
        </c:scaling>
        <c:delete val="0"/>
        <c:axPos val="l"/>
        <c:majorGridlines/>
        <c:title>
          <c:tx>
            <c:rich>
              <a:bodyPr/>
              <a:lstStyle/>
              <a:p>
                <a:pPr>
                  <a:defRPr/>
                </a:pPr>
                <a:r>
                  <a:rPr lang="es-AR"/>
                  <a:t>porcentaje</a:t>
                </a:r>
                <a:r>
                  <a:rPr lang="es-AR" baseline="0"/>
                  <a:t> gastos en salud</a:t>
                </a:r>
                <a:endParaRPr lang="es-AR"/>
              </a:p>
            </c:rich>
          </c:tx>
          <c:overlay val="0"/>
        </c:title>
        <c:numFmt formatCode="General" sourceLinked="1"/>
        <c:majorTickMark val="none"/>
        <c:minorTickMark val="none"/>
        <c:tickLblPos val="nextTo"/>
        <c:crossAx val="1486241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Hoja2!$A$6</c:f>
              <c:strCache>
                <c:ptCount val="1"/>
                <c:pt idx="0">
                  <c:v>gastos totales</c:v>
                </c:pt>
              </c:strCache>
            </c:strRef>
          </c:tx>
          <c:marker>
            <c:symbol val="none"/>
          </c:marker>
          <c:cat>
            <c:numRef>
              <c:f>Hoja2!$B$4:$I$4</c:f>
              <c:numCache>
                <c:formatCode>General</c:formatCode>
                <c:ptCount val="8"/>
                <c:pt idx="0">
                  <c:v>2012</c:v>
                </c:pt>
                <c:pt idx="1">
                  <c:v>2013</c:v>
                </c:pt>
                <c:pt idx="2">
                  <c:v>2014</c:v>
                </c:pt>
                <c:pt idx="3">
                  <c:v>2015</c:v>
                </c:pt>
                <c:pt idx="4">
                  <c:v>2016</c:v>
                </c:pt>
                <c:pt idx="5">
                  <c:v>2017</c:v>
                </c:pt>
                <c:pt idx="6">
                  <c:v>2018</c:v>
                </c:pt>
                <c:pt idx="7">
                  <c:v>2019</c:v>
                </c:pt>
              </c:numCache>
            </c:numRef>
          </c:cat>
          <c:val>
            <c:numRef>
              <c:f>Hoja2!$B$6:$I$6</c:f>
              <c:numCache>
                <c:formatCode>General</c:formatCode>
                <c:ptCount val="8"/>
                <c:pt idx="0">
                  <c:v>3.55</c:v>
                </c:pt>
                <c:pt idx="1">
                  <c:v>3.97</c:v>
                </c:pt>
                <c:pt idx="2">
                  <c:v>3.43</c:v>
                </c:pt>
                <c:pt idx="3">
                  <c:v>3.28</c:v>
                </c:pt>
                <c:pt idx="4">
                  <c:v>4.01</c:v>
                </c:pt>
                <c:pt idx="5">
                  <c:v>3.68</c:v>
                </c:pt>
                <c:pt idx="6">
                  <c:v>3.68</c:v>
                </c:pt>
                <c:pt idx="7">
                  <c:v>3.58</c:v>
                </c:pt>
              </c:numCache>
            </c:numRef>
          </c:val>
          <c:smooth val="0"/>
        </c:ser>
        <c:dLbls>
          <c:showLegendKey val="0"/>
          <c:showVal val="0"/>
          <c:showCatName val="0"/>
          <c:showSerName val="0"/>
          <c:showPercent val="0"/>
          <c:showBubbleSize val="0"/>
        </c:dLbls>
        <c:marker val="1"/>
        <c:smooth val="0"/>
        <c:axId val="158601216"/>
        <c:axId val="158602752"/>
      </c:lineChart>
      <c:catAx>
        <c:axId val="158601216"/>
        <c:scaling>
          <c:orientation val="minMax"/>
        </c:scaling>
        <c:delete val="0"/>
        <c:axPos val="b"/>
        <c:numFmt formatCode="General" sourceLinked="1"/>
        <c:majorTickMark val="none"/>
        <c:minorTickMark val="none"/>
        <c:tickLblPos val="nextTo"/>
        <c:crossAx val="158602752"/>
        <c:crosses val="autoZero"/>
        <c:auto val="1"/>
        <c:lblAlgn val="ctr"/>
        <c:lblOffset val="100"/>
        <c:noMultiLvlLbl val="0"/>
      </c:catAx>
      <c:valAx>
        <c:axId val="158602752"/>
        <c:scaling>
          <c:orientation val="minMax"/>
        </c:scaling>
        <c:delete val="0"/>
        <c:axPos val="l"/>
        <c:majorGridlines/>
        <c:title>
          <c:tx>
            <c:rich>
              <a:bodyPr/>
              <a:lstStyle/>
              <a:p>
                <a:pPr>
                  <a:defRPr/>
                </a:pPr>
                <a:r>
                  <a:rPr lang="es-AR"/>
                  <a:t>porcentaje</a:t>
                </a:r>
                <a:r>
                  <a:rPr lang="es-AR" baseline="0"/>
                  <a:t> gastos en salud</a:t>
                </a:r>
                <a:endParaRPr lang="es-AR"/>
              </a:p>
            </c:rich>
          </c:tx>
          <c:overlay val="0"/>
        </c:title>
        <c:numFmt formatCode="General" sourceLinked="1"/>
        <c:majorTickMark val="none"/>
        <c:minorTickMark val="none"/>
        <c:tickLblPos val="nextTo"/>
        <c:crossAx val="15860121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4913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Familia Guerra</cp:lastModifiedBy>
  <cp:revision>2</cp:revision>
  <dcterms:created xsi:type="dcterms:W3CDTF">2019-05-10T13:09:00Z</dcterms:created>
  <dcterms:modified xsi:type="dcterms:W3CDTF">2019-05-10T13:09:00Z</dcterms:modified>
</cp:coreProperties>
</file>