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b/>
          <w:sz w:val="24"/>
          <w:b/>
          <w:szCs w:val="24"/>
          <w:bCs/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Recurso Residual Bonaerense </w:t>
      </w:r>
      <w:r>
        <w:rPr>
          <w:rFonts w:ascii="Arial" w:hAnsi="Arial"/>
          <w:b/>
          <w:bCs/>
          <w:color w:val="800000"/>
          <w:sz w:val="24"/>
          <w:szCs w:val="24"/>
        </w:rPr>
        <w:t>(Cfr. Nación Art. 74 Dto. Nº 1397/79)</w:t>
      </w:r>
      <w:r/>
    </w:p>
    <w:p>
      <w:pPr>
        <w:pStyle w:val="Normal"/>
        <w:rPr>
          <w:sz w:val="24"/>
          <w:sz w:val="24"/>
          <w:szCs w:val="24"/>
          <w:rFonts w:ascii="Arial" w:hAnsi="Arial" w:eastAsia="Lucida Sans Unicode" w:cs="Lohit Hindi"/>
          <w:color w:val="00000A"/>
          <w:lang w:val="es-ES" w:eastAsia="zh-CN" w:bidi="hi-IN"/>
        </w:rPr>
      </w:pPr>
      <w:r>
        <w:rPr>
          <w:rFonts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eastAsia="Lucida Sans Unicode" w:cs="Lohit Hindi"/>
          <w:color w:val="00000A"/>
          <w:lang w:val="es-ES" w:eastAsia="zh-CN" w:bidi="hi-IN"/>
        </w:rPr>
      </w:pPr>
      <w:r>
        <w:rPr>
          <w:rFonts w:ascii="Arial" w:hAnsi="Arial"/>
          <w:sz w:val="24"/>
          <w:szCs w:val="24"/>
        </w:rPr>
      </w:r>
      <w:r/>
    </w:p>
    <w:p>
      <w:pPr>
        <w:pStyle w:val="Normal"/>
        <w:jc w:val="both"/>
      </w:pPr>
      <w:r>
        <w:rPr>
          <w:rFonts w:ascii="Arial" w:hAnsi="Arial"/>
          <w:sz w:val="24"/>
          <w:szCs w:val="24"/>
        </w:rPr>
        <w:t xml:space="preserve">ARTÍCULO 142: Cuando en el presente Código no se encuentre previsto un procedimiento recursivo especial, los contribuyentes o responsables podrán interponer contra el </w:t>
      </w:r>
      <w:r>
        <w:rPr>
          <w:rFonts w:ascii="Arial" w:hAnsi="Arial"/>
          <w:b/>
          <w:bCs/>
          <w:color w:val="800000"/>
          <w:sz w:val="24"/>
          <w:szCs w:val="24"/>
        </w:rPr>
        <w:t>acto administrativo de alcance individual o general respectivo</w:t>
      </w:r>
      <w:r>
        <w:rPr>
          <w:rFonts w:ascii="Arial" w:hAnsi="Arial"/>
          <w:sz w:val="24"/>
          <w:szCs w:val="24"/>
        </w:rPr>
        <w:t>, dentro de los quince (15) días de notificado el mismo o de su publicación en el Boletín Oficial, recurso de apelación fundado para ante el Director Ejecutivo, debiendo ser presentado ante el funcionario que dictó el acto recurrido.</w:t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/>
        </w:rPr>
      </w:pPr>
      <w:r>
        <w:rPr>
          <w:rFonts w:ascii="Arial" w:hAnsi="Arial"/>
          <w:sz w:val="24"/>
          <w:szCs w:val="24"/>
        </w:rPr>
        <w:tab/>
        <w:t>Los actos administrativos de alcance individual y general emanados del Director Ejecutivo podrán ser recurridos ante el mismo, en la forma y plazo previsto en el párrafo anterior.</w:t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/>
        </w:rPr>
      </w:pPr>
      <w:r>
        <w:rPr>
          <w:rFonts w:ascii="Arial" w:hAnsi="Arial"/>
          <w:sz w:val="24"/>
          <w:szCs w:val="24"/>
        </w:rPr>
        <w:tab/>
        <w:t>El acto administrativo emanado del Director Ejecutivo, como consecuencia de los procedimientos previstos en los párrafos anteriores, se resolverá sin sustanciación y revestirá el carácter de definitivo pudiendo sólo impugnarse por las vías previstas en el artículo 12 de la Ley Nº 12.008 y sus modificatorias.</w:t>
      </w:r>
      <w:r/>
    </w:p>
    <w:p>
      <w:pPr>
        <w:pStyle w:val="Normal"/>
        <w:jc w:val="both"/>
      </w:pPr>
      <w:r>
        <w:rPr>
          <w:rFonts w:ascii="Arial" w:hAnsi="Arial"/>
          <w:sz w:val="24"/>
          <w:szCs w:val="24"/>
        </w:rPr>
        <w:tab/>
        <w:t xml:space="preserve">El Director Ejecutivo deberá resolver los recursos, previo informe del área con competencia técnica legal del organismo, </w:t>
      </w:r>
      <w:r>
        <w:rPr>
          <w:rFonts w:ascii="Arial" w:hAnsi="Arial"/>
          <w:b/>
          <w:bCs/>
          <w:color w:val="800000"/>
          <w:sz w:val="24"/>
          <w:szCs w:val="24"/>
        </w:rPr>
        <w:t>en un plazo no mayor de noventa (90) días</w:t>
      </w:r>
      <w:r>
        <w:rPr>
          <w:rFonts w:ascii="Arial" w:hAnsi="Arial"/>
          <w:sz w:val="24"/>
          <w:szCs w:val="24"/>
        </w:rPr>
        <w:t xml:space="preserve"> contados a partir de la interposición de los mismos.</w:t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/>
        </w:rPr>
      </w:pPr>
      <w:r>
        <w:rPr>
          <w:rFonts w:ascii="Arial" w:hAnsi="Arial"/>
          <w:sz w:val="24"/>
          <w:szCs w:val="24"/>
        </w:rPr>
        <w:tab/>
        <w:t>En todos los casos será de aplicación lo dispuesto por el artículo 110 del Decreto Ley Nº 7.647/70, sin perjuicio de la facultad establecida por el artículo 98, inciso 2) del citado plexo legal.</w:t>
      </w:r>
      <w:r/>
    </w:p>
    <w:p>
      <w:pPr>
        <w:pStyle w:val="Normal"/>
        <w:jc w:val="both"/>
        <w:rPr>
          <w:sz w:val="24"/>
          <w:sz w:val="24"/>
          <w:szCs w:val="24"/>
          <w:rFonts w:ascii="Arial" w:hAnsi="Arial"/>
        </w:rPr>
      </w:pPr>
      <w:r>
        <w:rPr>
          <w:rFonts w:ascii="Arial" w:hAnsi="Arial"/>
          <w:sz w:val="24"/>
          <w:szCs w:val="24"/>
        </w:rPr>
        <w:tab/>
        <w:t>El Director Ejecutivo podrá determinar qué funcionarios y en qué medida lo sustituirán en las funciones a que se hace referencia en el párrafo tercero del presente</w:t>
      </w:r>
      <w:r/>
    </w:p>
    <w:p>
      <w:pPr>
        <w:pStyle w:val="Normal"/>
        <w:jc w:val="both"/>
        <w:rPr>
          <w:sz w:val="24"/>
          <w:sz w:val="24"/>
          <w:szCs w:val="24"/>
          <w:rFonts w:ascii="Liberation Serif" w:hAnsi="Liberation Serif" w:eastAsia="Lucida Sans Unicode" w:cs="Lohit Hindi"/>
          <w:color w:val="00000A"/>
          <w:lang w:val="es-ES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Hind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Lucida Sans Unicode" w:cs="Lohit Hindi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Lucida Sans Unicode" w:cs="Lohit Hindi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Lohit Hindi"/>
    </w:rPr>
  </w:style>
  <w:style w:type="paragraph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329</TotalTime>
  <Application>LibreOffice/4.3.5.2$Linux_x86 LibreOffice_project/430m0$Build-2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2016-10-19T17:26:43Z</dcterms:created>
  <dc:language>es-ES</dc:language>
  <dcterms:modified xsi:type="dcterms:W3CDTF">2017-05-10T09:38:22Z</dcterms:modified>
  <cp:revision>2</cp:revision>
</cp:coreProperties>
</file>