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EB262" w14:textId="58DA066E" w:rsidR="00B7444A" w:rsidRDefault="00B7444A">
      <w:pPr>
        <w:rPr>
          <w:rFonts w:ascii="Calibri" w:eastAsia="Calibri" w:hAnsi="Calibri" w:cs="Calibri"/>
          <w:b/>
          <w:bCs/>
          <w:sz w:val="24"/>
          <w:szCs w:val="24"/>
        </w:rPr>
      </w:pPr>
      <w:r w:rsidRPr="00B7444A">
        <w:rPr>
          <w:rFonts w:ascii="Calibri" w:eastAsia="Calibri" w:hAnsi="Calibri" w:cs="Calibri"/>
          <w:b/>
          <w:bCs/>
          <w:sz w:val="24"/>
          <w:szCs w:val="24"/>
        </w:rPr>
        <w:t>DEUDA EXTERNA EN ARGENTINA. PERIODO 2000 A 2003.</w:t>
      </w:r>
    </w:p>
    <w:p w14:paraId="1088B62F" w14:textId="000EBF46" w:rsidR="0080256D" w:rsidRPr="00B7444A" w:rsidRDefault="0080256D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Agostina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Bentivegna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Ziloni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</w:p>
    <w:p w14:paraId="7699AF23" w14:textId="6D253A3A" w:rsidR="000F6549" w:rsidRPr="001A7842" w:rsidRDefault="00000000">
      <w:pPr>
        <w:rPr>
          <w:rFonts w:ascii="Verdana" w:eastAsia="Calibri" w:hAnsi="Verdana" w:cs="Calibri"/>
          <w:sz w:val="24"/>
          <w:szCs w:val="24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Argentina enfrentó en este periodo una crisis profunda entre el año 2000 y 2003 que se marcó por el endeudamiento externo insostenible, la pérdida de confianza en la moneda y la inestabilidad política. </w:t>
      </w:r>
    </w:p>
    <w:p w14:paraId="4B665B9B" w14:textId="77777777" w:rsidR="000F6549" w:rsidRPr="001A7842" w:rsidRDefault="00000000">
      <w:pPr>
        <w:rPr>
          <w:rFonts w:ascii="Verdana" w:eastAsia="Calibri" w:hAnsi="Verdana" w:cs="Calibri"/>
          <w:sz w:val="24"/>
          <w:szCs w:val="24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Para noviembre de 1999 la deuda externa alcanzaba los 146.000 millones y el país tenía una población de 36 millones de habitantes con una tasa de desempleo de 17% y el 32% de la población se encontraba bajo la línea de la pobreza. </w:t>
      </w:r>
    </w:p>
    <w:p w14:paraId="6FD26572" w14:textId="52A22E16" w:rsidR="00A33B5C" w:rsidRPr="001A7842" w:rsidRDefault="00000000">
      <w:pPr>
        <w:rPr>
          <w:rFonts w:ascii="Verdana" w:hAnsi="Verdana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La sociedad no quería abandonar la </w:t>
      </w:r>
      <w:r w:rsidR="00B7444A" w:rsidRPr="001A7842">
        <w:rPr>
          <w:rFonts w:ascii="Verdana" w:eastAsia="Calibri" w:hAnsi="Verdana" w:cs="Calibri"/>
          <w:sz w:val="24"/>
          <w:szCs w:val="24"/>
        </w:rPr>
        <w:t>convertibilidad</w:t>
      </w:r>
      <w:r w:rsidRPr="001A7842">
        <w:rPr>
          <w:rFonts w:ascii="Verdana" w:eastAsia="Calibri" w:hAnsi="Verdana" w:cs="Calibri"/>
          <w:sz w:val="24"/>
          <w:szCs w:val="24"/>
        </w:rPr>
        <w:t xml:space="preserve"> y el gobierno de Menem se había endeudado para mantener la paridad económica.</w:t>
      </w:r>
    </w:p>
    <w:p w14:paraId="758ABB00" w14:textId="77777777" w:rsidR="00A33B5C" w:rsidRPr="001A7842" w:rsidRDefault="00A33B5C">
      <w:pPr>
        <w:rPr>
          <w:rFonts w:ascii="Verdana" w:hAnsi="Verdana"/>
        </w:rPr>
      </w:pPr>
    </w:p>
    <w:p w14:paraId="0B900087" w14:textId="306CFF22" w:rsidR="000F6549" w:rsidRPr="001A7842" w:rsidRDefault="00000000">
      <w:pPr>
        <w:rPr>
          <w:rFonts w:ascii="Verdana" w:eastAsia="Calibri" w:hAnsi="Verdana" w:cs="Calibri"/>
          <w:sz w:val="24"/>
          <w:szCs w:val="24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En este contexto el 10 de diciembre de 1999 se da la derrota del peronismo neoliberal frente a la alianza de la UCR con Fernando de la </w:t>
      </w:r>
      <w:r w:rsidR="00B7444A" w:rsidRPr="001A7842">
        <w:rPr>
          <w:rFonts w:ascii="Verdana" w:eastAsia="Calibri" w:hAnsi="Verdana" w:cs="Calibri"/>
          <w:sz w:val="24"/>
          <w:szCs w:val="24"/>
        </w:rPr>
        <w:t>Rúa</w:t>
      </w:r>
      <w:r w:rsidRPr="001A7842">
        <w:rPr>
          <w:rFonts w:ascii="Verdana" w:eastAsia="Calibri" w:hAnsi="Verdana" w:cs="Calibri"/>
          <w:sz w:val="24"/>
          <w:szCs w:val="24"/>
        </w:rPr>
        <w:t xml:space="preserve"> como presidente y el FREPASO con Carlos </w:t>
      </w:r>
      <w:r w:rsidR="00B7444A" w:rsidRPr="001A7842">
        <w:rPr>
          <w:rFonts w:ascii="Verdana" w:eastAsia="Calibri" w:hAnsi="Verdana" w:cs="Calibri"/>
          <w:sz w:val="24"/>
          <w:szCs w:val="24"/>
        </w:rPr>
        <w:t>Álvarez</w:t>
      </w:r>
      <w:r w:rsidRPr="001A7842">
        <w:rPr>
          <w:rFonts w:ascii="Verdana" w:eastAsia="Calibri" w:hAnsi="Verdana" w:cs="Calibri"/>
          <w:sz w:val="24"/>
          <w:szCs w:val="24"/>
        </w:rPr>
        <w:t xml:space="preserve"> como vicepresidente. Esto dio un cambio de </w:t>
      </w:r>
      <w:r w:rsidR="00B7444A" w:rsidRPr="001A7842">
        <w:rPr>
          <w:rFonts w:ascii="Verdana" w:eastAsia="Calibri" w:hAnsi="Verdana" w:cs="Calibri"/>
          <w:sz w:val="24"/>
          <w:szCs w:val="24"/>
        </w:rPr>
        <w:t>imagen,</w:t>
      </w:r>
      <w:r w:rsidRPr="001A7842">
        <w:rPr>
          <w:rFonts w:ascii="Verdana" w:eastAsia="Calibri" w:hAnsi="Verdana" w:cs="Calibri"/>
          <w:sz w:val="24"/>
          <w:szCs w:val="24"/>
        </w:rPr>
        <w:t xml:space="preserve"> pero se mantuvieron las políticas neoliberales y se mantuvo la convertibilidad. </w:t>
      </w:r>
    </w:p>
    <w:p w14:paraId="6634E11D" w14:textId="5F48EBEE" w:rsidR="00A33B5C" w:rsidRPr="001A7842" w:rsidRDefault="00000000">
      <w:pPr>
        <w:rPr>
          <w:rFonts w:ascii="Verdana" w:hAnsi="Verdana"/>
        </w:rPr>
      </w:pPr>
      <w:r w:rsidRPr="001A7842">
        <w:rPr>
          <w:rFonts w:ascii="Verdana" w:eastAsia="Calibri" w:hAnsi="Verdana" w:cs="Calibri"/>
          <w:sz w:val="24"/>
          <w:szCs w:val="24"/>
        </w:rPr>
        <w:t>Para poder mantenerla se vieron obligados a reducir el gasto público, a reestructurar la deuda y a aplicar medidas para poder favorecer a las empresas locales.</w:t>
      </w:r>
    </w:p>
    <w:p w14:paraId="15AD07F4" w14:textId="77777777" w:rsidR="00A33B5C" w:rsidRPr="001A7842" w:rsidRDefault="00A33B5C">
      <w:pPr>
        <w:rPr>
          <w:rFonts w:ascii="Verdana" w:hAnsi="Verdana"/>
        </w:rPr>
      </w:pPr>
    </w:p>
    <w:p w14:paraId="3B562EB1" w14:textId="77777777" w:rsidR="000F6549" w:rsidRPr="001A7842" w:rsidRDefault="00000000">
      <w:pPr>
        <w:rPr>
          <w:rFonts w:ascii="Verdana" w:eastAsia="Calibri" w:hAnsi="Verdana" w:cs="Calibri"/>
          <w:sz w:val="24"/>
          <w:szCs w:val="24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El denominado riesgo país empieza a crecer lo que reflejaba la desconfianza de los calificadores respecto a la posibilidad de que Argentina pueda seguir haciéndole frente al pago de la deuda. </w:t>
      </w:r>
    </w:p>
    <w:p w14:paraId="5668F578" w14:textId="77777777" w:rsidR="000F6549" w:rsidRPr="001A7842" w:rsidRDefault="000F6549">
      <w:pPr>
        <w:rPr>
          <w:rFonts w:ascii="Verdana" w:eastAsia="Calibri" w:hAnsi="Verdana" w:cs="Calibri"/>
          <w:sz w:val="24"/>
          <w:szCs w:val="24"/>
        </w:rPr>
      </w:pPr>
    </w:p>
    <w:p w14:paraId="2A2F66E0" w14:textId="77777777" w:rsidR="000F6549" w:rsidRPr="001A7842" w:rsidRDefault="00000000">
      <w:pPr>
        <w:rPr>
          <w:rFonts w:ascii="Verdana" w:eastAsia="Calibri" w:hAnsi="Verdana" w:cs="Calibri"/>
          <w:sz w:val="24"/>
          <w:szCs w:val="24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La renuncia del vicepresidente se da en octubre del 2000 denunciando así la corrupción del gobierno que da como resultado una gran cantidad de fuga de divisas y la aceleración de salidas de depósitos del sistema bancario que ascendió a octubre a 779 millones y en noviembre a 1.038 millones. </w:t>
      </w:r>
    </w:p>
    <w:p w14:paraId="2A16DD21" w14:textId="404250D2" w:rsidR="00A33B5C" w:rsidRPr="001A7842" w:rsidRDefault="00000000">
      <w:pPr>
        <w:rPr>
          <w:rFonts w:ascii="Verdana" w:hAnsi="Verdana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En diciembre el gobierno de la </w:t>
      </w:r>
      <w:r w:rsidR="007A6745" w:rsidRPr="001A7842">
        <w:rPr>
          <w:rFonts w:ascii="Verdana" w:eastAsia="Calibri" w:hAnsi="Verdana" w:cs="Calibri"/>
          <w:sz w:val="24"/>
          <w:szCs w:val="24"/>
        </w:rPr>
        <w:t>Rúa</w:t>
      </w:r>
      <w:r w:rsidRPr="001A7842">
        <w:rPr>
          <w:rFonts w:ascii="Verdana" w:eastAsia="Calibri" w:hAnsi="Verdana" w:cs="Calibri"/>
          <w:sz w:val="24"/>
          <w:szCs w:val="24"/>
        </w:rPr>
        <w:t xml:space="preserve"> decide negociar con el FMI un multimillonario </w:t>
      </w:r>
      <w:r w:rsidR="007A6745" w:rsidRPr="001A7842">
        <w:rPr>
          <w:rFonts w:ascii="Verdana" w:eastAsia="Calibri" w:hAnsi="Verdana" w:cs="Calibri"/>
          <w:b/>
          <w:bCs/>
          <w:sz w:val="24"/>
          <w:szCs w:val="24"/>
        </w:rPr>
        <w:t>BLINADAJE FINANCIERO</w:t>
      </w:r>
      <w:r w:rsidRPr="001A7842">
        <w:rPr>
          <w:rFonts w:ascii="Verdana" w:eastAsia="Calibri" w:hAnsi="Verdana" w:cs="Calibri"/>
          <w:sz w:val="24"/>
          <w:szCs w:val="24"/>
        </w:rPr>
        <w:t xml:space="preserve"> con aportes de varios bancos entre ellos el </w:t>
      </w:r>
      <w:r w:rsidR="000F6549" w:rsidRPr="001A7842">
        <w:rPr>
          <w:rFonts w:ascii="Verdana" w:eastAsia="Calibri" w:hAnsi="Verdana" w:cs="Calibri"/>
          <w:sz w:val="24"/>
          <w:szCs w:val="24"/>
          <w:lang w:val="en-US"/>
        </w:rPr>
        <w:t>Banco Internacional del Desarrollo</w:t>
      </w:r>
      <w:r w:rsidRPr="001A7842">
        <w:rPr>
          <w:rFonts w:ascii="Verdana" w:eastAsia="Calibri" w:hAnsi="Verdana" w:cs="Calibri"/>
          <w:sz w:val="24"/>
          <w:szCs w:val="24"/>
        </w:rPr>
        <w:t>, el Banco Mundial, el gobierno de España y varios grupos de bancos privados donde se aseguraban poner a disposición de la Argentina 40 millones a cambio de seguir el programa del FMI.</w:t>
      </w:r>
    </w:p>
    <w:p w14:paraId="4A2E0B63" w14:textId="77777777" w:rsidR="00A33B5C" w:rsidRPr="001A7842" w:rsidRDefault="00A33B5C">
      <w:pPr>
        <w:rPr>
          <w:rFonts w:ascii="Verdana" w:hAnsi="Verdana"/>
        </w:rPr>
      </w:pPr>
    </w:p>
    <w:p w14:paraId="52F29544" w14:textId="77777777" w:rsidR="000F6549" w:rsidRPr="001A7842" w:rsidRDefault="00000000">
      <w:pPr>
        <w:rPr>
          <w:rFonts w:ascii="Verdana" w:eastAsia="Calibri" w:hAnsi="Verdana" w:cs="Calibri"/>
          <w:sz w:val="24"/>
          <w:szCs w:val="24"/>
        </w:rPr>
      </w:pPr>
      <w:r w:rsidRPr="001A7842">
        <w:rPr>
          <w:rFonts w:ascii="Verdana" w:eastAsia="Calibri" w:hAnsi="Verdana" w:cs="Calibri"/>
          <w:sz w:val="24"/>
          <w:szCs w:val="24"/>
        </w:rPr>
        <w:t>Esto incluía el congelamiento del gasto público, la reducción del déficit fiscal</w:t>
      </w:r>
      <w:r w:rsidR="000F6549" w:rsidRPr="001A7842">
        <w:rPr>
          <w:rFonts w:ascii="Verdana" w:eastAsia="Calibri" w:hAnsi="Verdana" w:cs="Calibri"/>
          <w:sz w:val="24"/>
          <w:szCs w:val="24"/>
        </w:rPr>
        <w:t xml:space="preserve"> y </w:t>
      </w:r>
      <w:r w:rsidRPr="001A7842">
        <w:rPr>
          <w:rFonts w:ascii="Verdana" w:eastAsia="Calibri" w:hAnsi="Verdana" w:cs="Calibri"/>
          <w:sz w:val="24"/>
          <w:szCs w:val="24"/>
        </w:rPr>
        <w:t xml:space="preserve">la reforma del sistema previsional argentino elevando así la jubilación de las mujeres a 65 años. </w:t>
      </w:r>
    </w:p>
    <w:p w14:paraId="100C5B44" w14:textId="2869D2CC" w:rsidR="000F6549" w:rsidRPr="001A7842" w:rsidRDefault="00000000">
      <w:pPr>
        <w:rPr>
          <w:rFonts w:ascii="Verdana" w:eastAsia="Calibri" w:hAnsi="Verdana" w:cs="Calibri"/>
          <w:sz w:val="24"/>
          <w:szCs w:val="24"/>
        </w:rPr>
      </w:pPr>
      <w:r w:rsidRPr="001A7842">
        <w:rPr>
          <w:rFonts w:ascii="Verdana" w:eastAsia="Calibri" w:hAnsi="Verdana" w:cs="Calibri"/>
          <w:sz w:val="24"/>
          <w:szCs w:val="24"/>
        </w:rPr>
        <w:t>Este desembolso s</w:t>
      </w:r>
      <w:r w:rsidR="000F6549" w:rsidRPr="001A7842">
        <w:rPr>
          <w:rFonts w:ascii="Verdana" w:eastAsia="Calibri" w:hAnsi="Verdana" w:cs="Calibri"/>
          <w:sz w:val="24"/>
          <w:szCs w:val="24"/>
        </w:rPr>
        <w:t xml:space="preserve">e </w:t>
      </w:r>
      <w:r w:rsidR="007A6745" w:rsidRPr="001A7842">
        <w:rPr>
          <w:rFonts w:ascii="Verdana" w:eastAsia="Calibri" w:hAnsi="Verdana" w:cs="Calibri"/>
          <w:sz w:val="24"/>
          <w:szCs w:val="24"/>
        </w:rPr>
        <w:t>haría</w:t>
      </w:r>
      <w:r w:rsidRPr="001A7842">
        <w:rPr>
          <w:rFonts w:ascii="Verdana" w:eastAsia="Calibri" w:hAnsi="Verdana" w:cs="Calibri"/>
          <w:sz w:val="24"/>
          <w:szCs w:val="24"/>
        </w:rPr>
        <w:t xml:space="preserve"> durante dos años y serviría para pagar la deuda que Argentina tenía que para ese momento se sumaban a 20 millones en intereses solamente. </w:t>
      </w:r>
    </w:p>
    <w:p w14:paraId="6377AAFB" w14:textId="0A4B9128" w:rsidR="00A33B5C" w:rsidRPr="001A7842" w:rsidRDefault="00000000">
      <w:pPr>
        <w:rPr>
          <w:rFonts w:ascii="Verdana" w:hAnsi="Verdana"/>
        </w:rPr>
      </w:pPr>
      <w:r w:rsidRPr="001A7842">
        <w:rPr>
          <w:rFonts w:ascii="Verdana" w:eastAsia="Calibri" w:hAnsi="Verdana" w:cs="Calibri"/>
          <w:sz w:val="24"/>
          <w:szCs w:val="24"/>
        </w:rPr>
        <w:t>Esto no trajo mucha confianza lo que se vio reflejado que en marzo se dio la mayor salida de depósitos bancarios de toda la historia subiendo a 5.543 millones.</w:t>
      </w:r>
    </w:p>
    <w:p w14:paraId="00E74D1C" w14:textId="77777777" w:rsidR="00A33B5C" w:rsidRPr="001A7842" w:rsidRDefault="00A33B5C">
      <w:pPr>
        <w:rPr>
          <w:rFonts w:ascii="Verdana" w:hAnsi="Verdana"/>
        </w:rPr>
      </w:pPr>
    </w:p>
    <w:p w14:paraId="119614A7" w14:textId="77777777" w:rsidR="000F6549" w:rsidRPr="001A7842" w:rsidRDefault="00000000">
      <w:pPr>
        <w:rPr>
          <w:rFonts w:ascii="Verdana" w:eastAsia="Calibri" w:hAnsi="Verdana" w:cs="Calibri"/>
          <w:sz w:val="24"/>
          <w:szCs w:val="24"/>
        </w:rPr>
      </w:pPr>
      <w:r w:rsidRPr="001A7842">
        <w:rPr>
          <w:rFonts w:ascii="Verdana" w:eastAsia="Calibri" w:hAnsi="Verdana" w:cs="Calibri"/>
          <w:sz w:val="24"/>
          <w:szCs w:val="24"/>
        </w:rPr>
        <w:lastRenderedPageBreak/>
        <w:t xml:space="preserve">Durante este año se dio renuncia el ministro de economía y en </w:t>
      </w:r>
      <w:r w:rsidR="000F6549" w:rsidRPr="001A7842">
        <w:rPr>
          <w:rFonts w:ascii="Verdana" w:eastAsia="Calibri" w:hAnsi="Verdana" w:cs="Calibri"/>
          <w:sz w:val="24"/>
          <w:szCs w:val="24"/>
        </w:rPr>
        <w:t xml:space="preserve">su lugar, en </w:t>
      </w:r>
      <w:r w:rsidRPr="001A7842">
        <w:rPr>
          <w:rFonts w:ascii="Verdana" w:eastAsia="Calibri" w:hAnsi="Verdana" w:cs="Calibri"/>
          <w:sz w:val="24"/>
          <w:szCs w:val="24"/>
        </w:rPr>
        <w:t xml:space="preserve">abril </w:t>
      </w:r>
      <w:r w:rsidR="000F6549" w:rsidRPr="001A7842">
        <w:rPr>
          <w:rFonts w:ascii="Verdana" w:eastAsia="Calibri" w:hAnsi="Verdana" w:cs="Calibri"/>
          <w:sz w:val="24"/>
          <w:szCs w:val="24"/>
        </w:rPr>
        <w:t>asume</w:t>
      </w:r>
      <w:r w:rsidRPr="001A7842">
        <w:rPr>
          <w:rFonts w:ascii="Verdana" w:eastAsia="Calibri" w:hAnsi="Verdana" w:cs="Calibri"/>
          <w:sz w:val="24"/>
          <w:szCs w:val="24"/>
        </w:rPr>
        <w:t xml:space="preserve"> </w:t>
      </w:r>
      <w:r w:rsidR="000F6549" w:rsidRPr="001A7842">
        <w:rPr>
          <w:rFonts w:ascii="Verdana" w:eastAsia="Calibri" w:hAnsi="Verdana" w:cs="Calibri"/>
          <w:sz w:val="24"/>
          <w:szCs w:val="24"/>
        </w:rPr>
        <w:t>Cavall</w:t>
      </w:r>
      <w:r w:rsidRPr="001A7842">
        <w:rPr>
          <w:rFonts w:ascii="Verdana" w:eastAsia="Calibri" w:hAnsi="Verdana" w:cs="Calibri"/>
          <w:sz w:val="24"/>
          <w:szCs w:val="24"/>
        </w:rPr>
        <w:t xml:space="preserve">o que puso en práctica el </w:t>
      </w:r>
      <w:proofErr w:type="spellStart"/>
      <w:r w:rsidRPr="001A7842">
        <w:rPr>
          <w:rFonts w:ascii="Verdana" w:eastAsia="Calibri" w:hAnsi="Verdana" w:cs="Calibri"/>
          <w:b/>
          <w:bCs/>
          <w:sz w:val="24"/>
          <w:szCs w:val="24"/>
        </w:rPr>
        <w:t>megacanje</w:t>
      </w:r>
      <w:proofErr w:type="spellEnd"/>
      <w:r w:rsidRPr="001A7842">
        <w:rPr>
          <w:rFonts w:ascii="Verdana" w:eastAsia="Calibri" w:hAnsi="Verdana" w:cs="Calibri"/>
          <w:b/>
          <w:bCs/>
          <w:sz w:val="24"/>
          <w:szCs w:val="24"/>
        </w:rPr>
        <w:t>.</w:t>
      </w:r>
    </w:p>
    <w:p w14:paraId="07871784" w14:textId="77777777" w:rsidR="000F6549" w:rsidRPr="001A7842" w:rsidRDefault="00000000">
      <w:pPr>
        <w:rPr>
          <w:rFonts w:ascii="Verdana" w:eastAsia="Calibri" w:hAnsi="Verdana" w:cs="Calibri"/>
          <w:sz w:val="24"/>
          <w:szCs w:val="24"/>
        </w:rPr>
      </w:pPr>
      <w:r w:rsidRPr="001A7842">
        <w:rPr>
          <w:rFonts w:ascii="Verdana" w:eastAsia="Calibri" w:hAnsi="Verdana" w:cs="Calibri"/>
          <w:b/>
          <w:bCs/>
          <w:sz w:val="24"/>
          <w:szCs w:val="24"/>
        </w:rPr>
        <w:t xml:space="preserve"> El </w:t>
      </w:r>
      <w:proofErr w:type="spellStart"/>
      <w:r w:rsidRPr="001A7842">
        <w:rPr>
          <w:rFonts w:ascii="Verdana" w:eastAsia="Calibri" w:hAnsi="Verdana" w:cs="Calibri"/>
          <w:b/>
          <w:bCs/>
          <w:sz w:val="24"/>
          <w:szCs w:val="24"/>
        </w:rPr>
        <w:t>megacanje</w:t>
      </w:r>
      <w:proofErr w:type="spellEnd"/>
      <w:r w:rsidRPr="001A7842">
        <w:rPr>
          <w:rFonts w:ascii="Verdana" w:eastAsia="Calibri" w:hAnsi="Verdana" w:cs="Calibri"/>
          <w:sz w:val="24"/>
          <w:szCs w:val="24"/>
        </w:rPr>
        <w:t xml:space="preserve"> consistía en reestructurar el pago de la deuda en el tiempo alargando los plazos a cambio de un incremento en los intereses. </w:t>
      </w:r>
    </w:p>
    <w:p w14:paraId="1681DCAD" w14:textId="77777777" w:rsidR="000F6549" w:rsidRPr="001A7842" w:rsidRDefault="000F6549">
      <w:pPr>
        <w:rPr>
          <w:rStyle w:val="Textoennegrita"/>
          <w:rFonts w:ascii="Verdana" w:hAnsi="Verdana" w:cstheme="minorHAnsi"/>
          <w:b w:val="0"/>
          <w:bCs w:val="0"/>
          <w:color w:val="333333"/>
          <w:sz w:val="24"/>
          <w:szCs w:val="24"/>
          <w:shd w:val="clear" w:color="auto" w:fill="FFFFFF"/>
        </w:rPr>
      </w:pPr>
      <w:r w:rsidRPr="001A7842">
        <w:rPr>
          <w:rStyle w:val="Textoennegrita"/>
          <w:rFonts w:ascii="Verdana" w:hAnsi="Verdana" w:cstheme="minorHAnsi"/>
          <w:b w:val="0"/>
          <w:bCs w:val="0"/>
          <w:color w:val="333333"/>
          <w:sz w:val="24"/>
          <w:szCs w:val="24"/>
          <w:shd w:val="clear" w:color="auto" w:fill="FFFFFF"/>
        </w:rPr>
        <w:t xml:space="preserve">A primera vista, la operación parecía sencilla y beneficiosa para el país: se canjeaban 46 tipos distintos de bonos de deuda soberana por 5 tipos de bonos (uno solo en moneda local), con vencimientos hasta el año 2031. </w:t>
      </w:r>
    </w:p>
    <w:p w14:paraId="658203F5" w14:textId="4F4588AA" w:rsidR="000F6549" w:rsidRPr="001A7842" w:rsidRDefault="00514645">
      <w:pPr>
        <w:rPr>
          <w:rStyle w:val="Textoennegrita"/>
          <w:rFonts w:ascii="Verdana" w:hAnsi="Verdana" w:cstheme="minorHAnsi"/>
          <w:b w:val="0"/>
          <w:bCs w:val="0"/>
          <w:color w:val="333333"/>
          <w:sz w:val="24"/>
          <w:szCs w:val="24"/>
          <w:shd w:val="clear" w:color="auto" w:fill="FFFFFF"/>
        </w:rPr>
      </w:pPr>
      <w:r w:rsidRPr="001A7842">
        <w:rPr>
          <w:rStyle w:val="Textoennegrita"/>
          <w:rFonts w:ascii="Verdana" w:hAnsi="Verdana" w:cstheme="minorHAnsi"/>
          <w:b w:val="0"/>
          <w:bCs w:val="0"/>
          <w:color w:val="333333"/>
          <w:sz w:val="24"/>
          <w:szCs w:val="24"/>
          <w:shd w:val="clear" w:color="auto" w:fill="FFFFFF"/>
        </w:rPr>
        <w:t>Los primeros</w:t>
      </w:r>
      <w:r w:rsidR="000F6549" w:rsidRPr="001A7842">
        <w:rPr>
          <w:rStyle w:val="Textoennegrita"/>
          <w:rFonts w:ascii="Verdana" w:hAnsi="Verdana" w:cstheme="minorHAnsi"/>
          <w:b w:val="0"/>
          <w:bCs w:val="0"/>
          <w:color w:val="333333"/>
          <w:sz w:val="24"/>
          <w:szCs w:val="24"/>
          <w:shd w:val="clear" w:color="auto" w:fill="FFFFFF"/>
        </w:rPr>
        <w:t xml:space="preserve"> 3 meses tuvo éxito ya que se revirtió en gran parte la salida de depósitos bancarios).</w:t>
      </w:r>
    </w:p>
    <w:p w14:paraId="17F87776" w14:textId="43F7E67C" w:rsidR="000F6549" w:rsidRPr="001A7842" w:rsidRDefault="000F6549">
      <w:pPr>
        <w:rPr>
          <w:rFonts w:ascii="Verdana" w:eastAsia="Calibri" w:hAnsi="Verdana" w:cstheme="minorHAnsi"/>
          <w:sz w:val="24"/>
          <w:szCs w:val="24"/>
        </w:rPr>
      </w:pPr>
      <w:r w:rsidRPr="001A7842">
        <w:rPr>
          <w:rFonts w:ascii="Verdana" w:hAnsi="Verdana" w:cstheme="minorHAnsi"/>
          <w:sz w:val="24"/>
          <w:szCs w:val="24"/>
          <w:shd w:val="clear" w:color="auto" w:fill="FFFFFF"/>
        </w:rPr>
        <w:t xml:space="preserve">El peritaje de la causa judicial por el Mega-Canje realizado por el experto en ingeniería financiera </w:t>
      </w:r>
      <w:proofErr w:type="spellStart"/>
      <w:r w:rsidRPr="001A7842">
        <w:rPr>
          <w:rFonts w:ascii="Verdana" w:hAnsi="Verdana" w:cstheme="minorHAnsi"/>
          <w:sz w:val="24"/>
          <w:szCs w:val="24"/>
          <w:shd w:val="clear" w:color="auto" w:fill="FFFFFF"/>
        </w:rPr>
        <w:t>Moises</w:t>
      </w:r>
      <w:proofErr w:type="spellEnd"/>
      <w:r w:rsidRPr="001A7842">
        <w:rPr>
          <w:rFonts w:ascii="Verdana" w:hAnsi="Verdana" w:cstheme="minorHAnsi"/>
          <w:sz w:val="24"/>
          <w:szCs w:val="24"/>
          <w:shd w:val="clear" w:color="auto" w:fill="FFFFFF"/>
        </w:rPr>
        <w:t xml:space="preserve"> Resnick Brenner sostiene que </w:t>
      </w:r>
      <w:r w:rsidRPr="001A7842">
        <w:rPr>
          <w:rStyle w:val="Textoennegrita"/>
          <w:rFonts w:ascii="Verdana" w:hAnsi="Verdana" w:cstheme="minorHAnsi"/>
          <w:b w:val="0"/>
          <w:bCs w:val="0"/>
          <w:sz w:val="24"/>
          <w:szCs w:val="24"/>
          <w:shd w:val="clear" w:color="auto" w:fill="FFFFFF"/>
        </w:rPr>
        <w:t>el país sufrió un perjuicio valuado en 55.000 millones de dólares. Siete fueron los bancos implicados en esta fenomenal estafa, y obtuvieron 150 millones de dólares en comisiones</w:t>
      </w:r>
      <w:r w:rsidRPr="001A7842">
        <w:rPr>
          <w:rStyle w:val="Textoennegrita"/>
          <w:rFonts w:ascii="Verdana" w:hAnsi="Verdana" w:cstheme="minorHAnsi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14:paraId="0159EB2A" w14:textId="77777777" w:rsidR="000F6549" w:rsidRPr="001A7842" w:rsidRDefault="00000000" w:rsidP="000F6549">
      <w:pPr>
        <w:rPr>
          <w:rFonts w:ascii="Verdana" w:eastAsia="Calibri" w:hAnsi="Verdana" w:cstheme="minorHAnsi"/>
          <w:sz w:val="24"/>
          <w:szCs w:val="24"/>
        </w:rPr>
      </w:pPr>
      <w:r w:rsidRPr="001A7842">
        <w:rPr>
          <w:rFonts w:ascii="Verdana" w:eastAsia="Calibri" w:hAnsi="Verdana" w:cstheme="minorHAnsi"/>
          <w:sz w:val="24"/>
          <w:szCs w:val="24"/>
        </w:rPr>
        <w:t>En principio tuvo éxito ya que durante tres meses no hubo salidas de depósitos permitiendo así la recuperación fiscal.</w:t>
      </w:r>
    </w:p>
    <w:p w14:paraId="5392DBD0" w14:textId="0BEF8F0C" w:rsidR="000F6549" w:rsidRPr="001A7842" w:rsidRDefault="000F6549" w:rsidP="000F6549">
      <w:pPr>
        <w:rPr>
          <w:rFonts w:ascii="Verdana" w:hAnsi="Verdana" w:cstheme="minorHAnsi"/>
          <w:sz w:val="24"/>
          <w:szCs w:val="24"/>
        </w:rPr>
      </w:pPr>
      <w:r w:rsidRPr="001A7842">
        <w:rPr>
          <w:rFonts w:ascii="Verdana" w:hAnsi="Verdana" w:cstheme="minorHAnsi"/>
          <w:sz w:val="24"/>
          <w:szCs w:val="24"/>
        </w:rPr>
        <w:t>Antes del Mega-Canje se calculaba que Argentina debía pagar en el período 2001-2031 por los vencimientos de su deuda un valor que alcanzaba los 60.500 millones de dólares. Luego del Mega-Canje, ese valor se incrementaría en un 63% y llegaría a los 98.400 millones de dólares. Además, la deuda pública total pasaría de los 124.400 millones de dólares a los 126.600 millones de dólares. Por su parte, los intereses de la deuda treparían de los ya impagables 82.300 millones de dólares hasta los 120.700 millones de dólares.</w:t>
      </w:r>
    </w:p>
    <w:p w14:paraId="34CEBDD5" w14:textId="30FD7794" w:rsidR="00514645" w:rsidRPr="001A7842" w:rsidRDefault="00514645" w:rsidP="000F6549">
      <w:pPr>
        <w:rPr>
          <w:rFonts w:ascii="Verdana" w:hAnsi="Verdana" w:cstheme="minorHAnsi"/>
          <w:sz w:val="24"/>
          <w:szCs w:val="24"/>
        </w:rPr>
      </w:pPr>
      <w:r w:rsidRPr="001A7842">
        <w:rPr>
          <w:rFonts w:ascii="Verdana" w:hAnsi="Verdana" w:cstheme="minorHAnsi"/>
          <w:sz w:val="24"/>
          <w:szCs w:val="24"/>
        </w:rPr>
        <w:t xml:space="preserve">Esta renegociación voluntaria de la deuda fue una propuesta de los bancos acreedores, principalmente de David </w:t>
      </w:r>
      <w:proofErr w:type="spellStart"/>
      <w:r w:rsidRPr="001A7842">
        <w:rPr>
          <w:rFonts w:ascii="Verdana" w:hAnsi="Verdana" w:cstheme="minorHAnsi"/>
          <w:sz w:val="24"/>
          <w:szCs w:val="24"/>
        </w:rPr>
        <w:t>Mulford</w:t>
      </w:r>
      <w:proofErr w:type="spellEnd"/>
      <w:r w:rsidRPr="001A7842">
        <w:rPr>
          <w:rFonts w:ascii="Verdana" w:hAnsi="Verdana" w:cstheme="minorHAnsi"/>
          <w:sz w:val="24"/>
          <w:szCs w:val="24"/>
        </w:rPr>
        <w:t xml:space="preserve">, ex secretario del tesoro nacional de los estados unidos. Que fue muy bien recibido por Cavallo y </w:t>
      </w:r>
      <w:proofErr w:type="spellStart"/>
      <w:r w:rsidRPr="001A7842">
        <w:rPr>
          <w:rFonts w:ascii="Verdana" w:hAnsi="Verdana" w:cstheme="minorHAnsi"/>
          <w:sz w:val="24"/>
          <w:szCs w:val="24"/>
        </w:rPr>
        <w:t>Struzzeneger</w:t>
      </w:r>
      <w:proofErr w:type="spellEnd"/>
      <w:r w:rsidRPr="001A7842">
        <w:rPr>
          <w:rFonts w:ascii="Verdana" w:hAnsi="Verdana" w:cstheme="minorHAnsi"/>
          <w:sz w:val="24"/>
          <w:szCs w:val="24"/>
        </w:rPr>
        <w:t xml:space="preserve"> que era en aquel momento secretario de política económica. Por este plan fueron procesados por la justicia. </w:t>
      </w:r>
    </w:p>
    <w:p w14:paraId="07248FC2" w14:textId="36501FE6" w:rsidR="00514645" w:rsidRPr="001A7842" w:rsidRDefault="00514645" w:rsidP="000F6549">
      <w:pPr>
        <w:rPr>
          <w:rFonts w:ascii="Verdana" w:eastAsia="Calibri" w:hAnsi="Verdana" w:cstheme="minorHAnsi"/>
          <w:sz w:val="24"/>
          <w:szCs w:val="24"/>
        </w:rPr>
      </w:pPr>
      <w:r w:rsidRPr="001A7842">
        <w:rPr>
          <w:rFonts w:ascii="Verdana" w:hAnsi="Verdana" w:cstheme="minorHAnsi"/>
          <w:sz w:val="24"/>
          <w:szCs w:val="24"/>
        </w:rPr>
        <w:t xml:space="preserve">Hoy en </w:t>
      </w:r>
      <w:proofErr w:type="spellStart"/>
      <w:r w:rsidRPr="001A7842">
        <w:rPr>
          <w:rFonts w:ascii="Verdana" w:hAnsi="Verdana" w:cstheme="minorHAnsi"/>
          <w:sz w:val="24"/>
          <w:szCs w:val="24"/>
        </w:rPr>
        <w:t>dia</w:t>
      </w:r>
      <w:proofErr w:type="spellEnd"/>
      <w:r w:rsidRPr="001A7842">
        <w:rPr>
          <w:rFonts w:ascii="Verdana" w:hAnsi="Verdana" w:cstheme="minorHAnsi"/>
          <w:sz w:val="24"/>
          <w:szCs w:val="24"/>
        </w:rPr>
        <w:t xml:space="preserve">, Federico fue designado por el actual presidente Javier Milei como ministro de </w:t>
      </w:r>
      <w:proofErr w:type="spellStart"/>
      <w:r w:rsidRPr="001A7842">
        <w:rPr>
          <w:rFonts w:ascii="Verdana" w:hAnsi="Verdana" w:cstheme="minorHAnsi"/>
          <w:sz w:val="24"/>
          <w:szCs w:val="24"/>
        </w:rPr>
        <w:t>desregulacion</w:t>
      </w:r>
      <w:proofErr w:type="spellEnd"/>
      <w:r w:rsidRPr="001A7842">
        <w:rPr>
          <w:rFonts w:ascii="Verdana" w:hAnsi="Verdana" w:cstheme="minorHAnsi"/>
          <w:sz w:val="24"/>
          <w:szCs w:val="24"/>
        </w:rPr>
        <w:t xml:space="preserve"> y transformación económica. </w:t>
      </w:r>
    </w:p>
    <w:p w14:paraId="1DF78FC6" w14:textId="77777777" w:rsidR="000F6549" w:rsidRPr="001A7842" w:rsidRDefault="000F6549">
      <w:pPr>
        <w:rPr>
          <w:rFonts w:ascii="Verdana" w:eastAsia="Calibri" w:hAnsi="Verdana" w:cs="Calibri"/>
          <w:sz w:val="24"/>
          <w:szCs w:val="24"/>
        </w:rPr>
      </w:pPr>
    </w:p>
    <w:p w14:paraId="5BAA9B48" w14:textId="77777777" w:rsidR="00A33B5C" w:rsidRPr="001A7842" w:rsidRDefault="00A33B5C">
      <w:pPr>
        <w:rPr>
          <w:rFonts w:ascii="Verdana" w:hAnsi="Verdana"/>
        </w:rPr>
      </w:pPr>
    </w:p>
    <w:p w14:paraId="3B140A86" w14:textId="584100A3" w:rsidR="00A33B5C" w:rsidRPr="001A7842" w:rsidRDefault="00000000">
      <w:pPr>
        <w:rPr>
          <w:rFonts w:ascii="Verdana" w:hAnsi="Verdana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Las provincias eran las que más fuertemente estaban endeudadas y pidieron el apoyo al gobierno que no tuvo la posibilidad de asistirlas con los montos necesitados. Ante esta situación </w:t>
      </w:r>
      <w:proofErr w:type="spellStart"/>
      <w:r w:rsidRPr="001A7842">
        <w:rPr>
          <w:rFonts w:ascii="Verdana" w:eastAsia="Calibri" w:hAnsi="Verdana" w:cs="Calibri"/>
          <w:sz w:val="24"/>
          <w:szCs w:val="24"/>
        </w:rPr>
        <w:t>ca</w:t>
      </w:r>
      <w:r w:rsidR="00514645" w:rsidRPr="001A7842">
        <w:rPr>
          <w:rFonts w:ascii="Verdana" w:eastAsia="Calibri" w:hAnsi="Verdana" w:cs="Calibri"/>
          <w:sz w:val="24"/>
          <w:szCs w:val="24"/>
        </w:rPr>
        <w:t>v</w:t>
      </w:r>
      <w:r w:rsidRPr="001A7842">
        <w:rPr>
          <w:rFonts w:ascii="Verdana" w:eastAsia="Calibri" w:hAnsi="Verdana" w:cs="Calibri"/>
          <w:sz w:val="24"/>
          <w:szCs w:val="24"/>
        </w:rPr>
        <w:t>al</w:t>
      </w:r>
      <w:r w:rsidR="00514645" w:rsidRPr="001A7842">
        <w:rPr>
          <w:rFonts w:ascii="Verdana" w:eastAsia="Calibri" w:hAnsi="Verdana" w:cs="Calibri"/>
          <w:sz w:val="24"/>
          <w:szCs w:val="24"/>
        </w:rPr>
        <w:t>l</w:t>
      </w:r>
      <w:r w:rsidRPr="001A7842">
        <w:rPr>
          <w:rFonts w:ascii="Verdana" w:eastAsia="Calibri" w:hAnsi="Verdana" w:cs="Calibri"/>
          <w:sz w:val="24"/>
          <w:szCs w:val="24"/>
        </w:rPr>
        <w:t>o</w:t>
      </w:r>
      <w:proofErr w:type="spellEnd"/>
      <w:r w:rsidRPr="001A7842">
        <w:rPr>
          <w:rFonts w:ascii="Verdana" w:eastAsia="Calibri" w:hAnsi="Verdana" w:cs="Calibri"/>
          <w:sz w:val="24"/>
          <w:szCs w:val="24"/>
        </w:rPr>
        <w:t xml:space="preserve"> pone en marcha el déficit cero según el cual la recaudación efectiva de cada mes aplicaría al pago de los intereses y el saldo para el gasto público. Esto trajo como consecuencia la reducción de los salarios y jubilaciones.</w:t>
      </w:r>
    </w:p>
    <w:p w14:paraId="0AE489B4" w14:textId="77777777" w:rsidR="00A33B5C" w:rsidRPr="001A7842" w:rsidRDefault="00A33B5C">
      <w:pPr>
        <w:rPr>
          <w:rFonts w:ascii="Verdana" w:hAnsi="Verdana"/>
        </w:rPr>
      </w:pPr>
    </w:p>
    <w:p w14:paraId="7C837BC1" w14:textId="00F0582E" w:rsidR="00A33B5C" w:rsidRPr="001A7842" w:rsidRDefault="00000000">
      <w:pPr>
        <w:rPr>
          <w:rFonts w:ascii="Verdana" w:hAnsi="Verdana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En este contexto la última medida que se iba a llevar a cabo durante el gobierno de la Rúa antes de su salida fue el </w:t>
      </w:r>
      <w:r w:rsidR="007A6745" w:rsidRPr="001A7842">
        <w:rPr>
          <w:rFonts w:ascii="Verdana" w:eastAsia="Calibri" w:hAnsi="Verdana" w:cs="Calibri"/>
          <w:sz w:val="24"/>
          <w:szCs w:val="24"/>
        </w:rPr>
        <w:t>“</w:t>
      </w:r>
      <w:r w:rsidRPr="001A7842">
        <w:rPr>
          <w:rFonts w:ascii="Verdana" w:eastAsia="Calibri" w:hAnsi="Verdana" w:cs="Calibri"/>
          <w:b/>
          <w:bCs/>
          <w:sz w:val="24"/>
          <w:szCs w:val="24"/>
        </w:rPr>
        <w:t>corralito</w:t>
      </w:r>
      <w:r w:rsidR="007A6745" w:rsidRPr="001A7842">
        <w:rPr>
          <w:rFonts w:ascii="Verdana" w:eastAsia="Calibri" w:hAnsi="Verdana" w:cs="Calibri"/>
          <w:sz w:val="24"/>
          <w:szCs w:val="24"/>
        </w:rPr>
        <w:t>”</w:t>
      </w:r>
      <w:r w:rsidRPr="001A7842">
        <w:rPr>
          <w:rFonts w:ascii="Verdana" w:eastAsia="Calibri" w:hAnsi="Verdana" w:cs="Calibri"/>
          <w:sz w:val="24"/>
          <w:szCs w:val="24"/>
        </w:rPr>
        <w:t xml:space="preserve"> el cual congelaba la posibilidad de retirar de los bancos efectivo limitándolo a mil pesos por mes o a 250 pesos por semana. El FMI como respuestas a estas medidas no liberó el desembolso pactado allanándose el camino a la cesación de pagos.</w:t>
      </w:r>
    </w:p>
    <w:p w14:paraId="5B2F923F" w14:textId="77777777" w:rsidR="00A33B5C" w:rsidRPr="001A7842" w:rsidRDefault="00A33B5C">
      <w:pPr>
        <w:rPr>
          <w:rFonts w:ascii="Verdana" w:hAnsi="Verdana"/>
        </w:rPr>
      </w:pPr>
    </w:p>
    <w:p w14:paraId="52008463" w14:textId="77777777" w:rsidR="000F6549" w:rsidRPr="001A7842" w:rsidRDefault="00000000">
      <w:pPr>
        <w:rPr>
          <w:rFonts w:ascii="Verdana" w:eastAsia="Calibri" w:hAnsi="Verdana" w:cs="Calibri"/>
          <w:sz w:val="24"/>
          <w:szCs w:val="24"/>
        </w:rPr>
      </w:pPr>
      <w:r w:rsidRPr="001A7842">
        <w:rPr>
          <w:rFonts w:ascii="Verdana" w:eastAsia="Calibri" w:hAnsi="Verdana" w:cs="Calibri"/>
          <w:sz w:val="24"/>
          <w:szCs w:val="24"/>
        </w:rPr>
        <w:lastRenderedPageBreak/>
        <w:t xml:space="preserve">La sociedad no respondió bien llevando a cabo varios estallidos y saqueos que culminan con la salida del presidente el 20 de diciembre del 2001. </w:t>
      </w:r>
    </w:p>
    <w:p w14:paraId="4B0A73E5" w14:textId="7FD0260B" w:rsidR="00A33B5C" w:rsidRPr="001A7842" w:rsidRDefault="00000000">
      <w:pPr>
        <w:rPr>
          <w:rFonts w:ascii="Verdana" w:hAnsi="Verdana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El 23 de diciembre del 2001 asume Rodríguez </w:t>
      </w:r>
      <w:proofErr w:type="spellStart"/>
      <w:r w:rsidR="000F6549" w:rsidRPr="001A7842">
        <w:rPr>
          <w:rFonts w:ascii="Verdana" w:eastAsia="Calibri" w:hAnsi="Verdana" w:cs="Calibri"/>
          <w:sz w:val="24"/>
          <w:szCs w:val="24"/>
        </w:rPr>
        <w:t>Saa</w:t>
      </w:r>
      <w:proofErr w:type="spellEnd"/>
      <w:r w:rsidRPr="001A7842">
        <w:rPr>
          <w:rFonts w:ascii="Verdana" w:eastAsia="Calibri" w:hAnsi="Verdana" w:cs="Calibri"/>
          <w:sz w:val="24"/>
          <w:szCs w:val="24"/>
        </w:rPr>
        <w:t xml:space="preserve"> y el 24 debía afrontar dos vencimientos de deuda además otro el 28 y otro los primeros días de enero. En su nuevo mandato que solamente duró una semana </w:t>
      </w:r>
      <w:r w:rsidRPr="001A7842">
        <w:rPr>
          <w:rFonts w:ascii="Verdana" w:eastAsia="Calibri" w:hAnsi="Verdana" w:cs="Calibri"/>
          <w:b/>
          <w:bCs/>
          <w:sz w:val="24"/>
          <w:szCs w:val="24"/>
        </w:rPr>
        <w:t>declara el</w:t>
      </w:r>
      <w:r w:rsidR="000F6549" w:rsidRPr="001A7842">
        <w:rPr>
          <w:rFonts w:ascii="Verdana" w:eastAsia="Calibri" w:hAnsi="Verdana" w:cs="Calibri"/>
          <w:b/>
          <w:bCs/>
          <w:sz w:val="24"/>
          <w:szCs w:val="24"/>
        </w:rPr>
        <w:t xml:space="preserve"> Default</w:t>
      </w:r>
      <w:r w:rsidRPr="001A7842">
        <w:rPr>
          <w:rFonts w:ascii="Verdana" w:eastAsia="Calibri" w:hAnsi="Verdana" w:cs="Calibri"/>
          <w:sz w:val="24"/>
          <w:szCs w:val="24"/>
        </w:rPr>
        <w:t xml:space="preserve"> y declara la interrupción del pago de la deuda que para ese momento alcanzaba los 144 millones de dólares.</w:t>
      </w:r>
    </w:p>
    <w:p w14:paraId="6B0CFF71" w14:textId="77777777" w:rsidR="00A33B5C" w:rsidRPr="001A7842" w:rsidRDefault="00A33B5C">
      <w:pPr>
        <w:rPr>
          <w:rFonts w:ascii="Verdana" w:hAnsi="Verdana"/>
        </w:rPr>
      </w:pPr>
    </w:p>
    <w:p w14:paraId="7C727B1A" w14:textId="3267924C" w:rsidR="000F6549" w:rsidRPr="001A7842" w:rsidRDefault="00000000">
      <w:pPr>
        <w:rPr>
          <w:rFonts w:ascii="Verdana" w:eastAsia="Calibri" w:hAnsi="Verdana" w:cs="Calibri"/>
          <w:sz w:val="24"/>
          <w:szCs w:val="24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El 2 de enero del 2002 asume </w:t>
      </w:r>
      <w:r w:rsidR="007A6745" w:rsidRPr="001A7842">
        <w:rPr>
          <w:rFonts w:ascii="Verdana" w:eastAsia="Calibri" w:hAnsi="Verdana" w:cs="Calibri"/>
          <w:sz w:val="24"/>
          <w:szCs w:val="24"/>
        </w:rPr>
        <w:t>Duhalde</w:t>
      </w:r>
      <w:r w:rsidRPr="001A7842">
        <w:rPr>
          <w:rFonts w:ascii="Verdana" w:eastAsia="Calibri" w:hAnsi="Verdana" w:cs="Calibri"/>
          <w:sz w:val="24"/>
          <w:szCs w:val="24"/>
        </w:rPr>
        <w:t xml:space="preserve"> quien anunció el </w:t>
      </w:r>
      <w:r w:rsidRPr="001A7842">
        <w:rPr>
          <w:rFonts w:ascii="Verdana" w:eastAsia="Calibri" w:hAnsi="Verdana" w:cs="Calibri"/>
          <w:b/>
          <w:bCs/>
          <w:sz w:val="24"/>
          <w:szCs w:val="24"/>
        </w:rPr>
        <w:t>fin de la convertibilidad</w:t>
      </w:r>
      <w:r w:rsidRPr="001A7842">
        <w:rPr>
          <w:rFonts w:ascii="Verdana" w:eastAsia="Calibri" w:hAnsi="Verdana" w:cs="Calibri"/>
          <w:sz w:val="24"/>
          <w:szCs w:val="24"/>
        </w:rPr>
        <w:t xml:space="preserve"> pasando así un sistema de flotación cambiaria que es cuando la moneda se regula por el mercado sin la intervención de las autoridades. </w:t>
      </w:r>
      <w:r w:rsidR="007A6745" w:rsidRPr="001A7842">
        <w:rPr>
          <w:rFonts w:ascii="Verdana" w:eastAsia="Calibri" w:hAnsi="Verdana" w:cs="Calibri"/>
          <w:sz w:val="24"/>
          <w:szCs w:val="24"/>
        </w:rPr>
        <w:t>Además,</w:t>
      </w:r>
      <w:r w:rsidRPr="001A7842">
        <w:rPr>
          <w:rFonts w:ascii="Verdana" w:eastAsia="Calibri" w:hAnsi="Verdana" w:cs="Calibri"/>
          <w:sz w:val="24"/>
          <w:szCs w:val="24"/>
        </w:rPr>
        <w:t xml:space="preserve"> anunció que la cesación de pagos incluiría los bonos no canjeados es decir que asumiría el pago de la deuda con organismos internacionales y el tramo local. </w:t>
      </w:r>
    </w:p>
    <w:p w14:paraId="6CB0776D" w14:textId="18D1AF03" w:rsidR="00A33B5C" w:rsidRPr="001A7842" w:rsidRDefault="00000000">
      <w:pPr>
        <w:rPr>
          <w:rFonts w:ascii="Verdana" w:hAnsi="Verdana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En </w:t>
      </w:r>
      <w:r w:rsidR="007A6745" w:rsidRPr="001A7842">
        <w:rPr>
          <w:rFonts w:ascii="Verdana" w:eastAsia="Calibri" w:hAnsi="Verdana" w:cs="Calibri"/>
          <w:sz w:val="24"/>
          <w:szCs w:val="24"/>
        </w:rPr>
        <w:t>cambio,</w:t>
      </w:r>
      <w:r w:rsidRPr="001A7842">
        <w:rPr>
          <w:rFonts w:ascii="Verdana" w:eastAsia="Calibri" w:hAnsi="Verdana" w:cs="Calibri"/>
          <w:sz w:val="24"/>
          <w:szCs w:val="24"/>
        </w:rPr>
        <w:t xml:space="preserve"> con los acreedores externos se les ofreció una renegociación en condiciones más favorables para Argentina empezando a pagar más adelante.</w:t>
      </w:r>
    </w:p>
    <w:p w14:paraId="48E287A9" w14:textId="77777777" w:rsidR="00A33B5C" w:rsidRPr="001A7842" w:rsidRDefault="00A33B5C">
      <w:pPr>
        <w:rPr>
          <w:rFonts w:ascii="Verdana" w:hAnsi="Verdana"/>
        </w:rPr>
      </w:pPr>
    </w:p>
    <w:p w14:paraId="357B2A00" w14:textId="6DDBC6D1" w:rsidR="00A33B5C" w:rsidRPr="001A7842" w:rsidRDefault="00000000">
      <w:pPr>
        <w:rPr>
          <w:rFonts w:ascii="Verdana" w:hAnsi="Verdana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Las medidas de </w:t>
      </w:r>
      <w:r w:rsidR="007A6745" w:rsidRPr="001A7842">
        <w:rPr>
          <w:rFonts w:ascii="Verdana" w:eastAsia="Calibri" w:hAnsi="Verdana" w:cs="Calibri"/>
          <w:sz w:val="24"/>
          <w:szCs w:val="24"/>
        </w:rPr>
        <w:t>Duhalde</w:t>
      </w:r>
      <w:r w:rsidRPr="001A7842">
        <w:rPr>
          <w:rFonts w:ascii="Verdana" w:eastAsia="Calibri" w:hAnsi="Verdana" w:cs="Calibri"/>
          <w:sz w:val="24"/>
          <w:szCs w:val="24"/>
        </w:rPr>
        <w:t xml:space="preserve"> produjeron una contracción real en la producción de bienes y servicios junto con una fuerte suba de los precios bajando el consumo y los ingresos. Mientras tanto el gobierno buscó llegar a un acuerdo con el FMI para obtener ayuda económica y política para poder renegociar la deuda. Para mediados del 2002 la deuda alcanzaba 132 mil 400 millones la cifra es similar al stock de deuda en </w:t>
      </w:r>
      <w:proofErr w:type="gramStart"/>
      <w:r w:rsidRPr="001A7842">
        <w:rPr>
          <w:rFonts w:ascii="Verdana" w:eastAsia="Calibri" w:hAnsi="Verdana" w:cs="Calibri"/>
          <w:sz w:val="24"/>
          <w:szCs w:val="24"/>
        </w:rPr>
        <w:t>dólares</w:t>
      </w:r>
      <w:proofErr w:type="gramEnd"/>
      <w:r w:rsidRPr="001A7842">
        <w:rPr>
          <w:rFonts w:ascii="Verdana" w:eastAsia="Calibri" w:hAnsi="Verdana" w:cs="Calibri"/>
          <w:sz w:val="24"/>
          <w:szCs w:val="24"/>
        </w:rPr>
        <w:t xml:space="preserve"> pero dado el derrumbe de la convertibilidad presentaba un valor cuatro veces mayor en moneda local.</w:t>
      </w:r>
    </w:p>
    <w:p w14:paraId="5107000A" w14:textId="77777777" w:rsidR="00A33B5C" w:rsidRPr="001A7842" w:rsidRDefault="00A33B5C">
      <w:pPr>
        <w:rPr>
          <w:rFonts w:ascii="Verdana" w:hAnsi="Verdana"/>
        </w:rPr>
      </w:pPr>
    </w:p>
    <w:p w14:paraId="149968C3" w14:textId="3BA5C0FD" w:rsidR="00A33B5C" w:rsidRPr="001A7842" w:rsidRDefault="00000000">
      <w:pPr>
        <w:rPr>
          <w:rFonts w:ascii="Verdana" w:hAnsi="Verdana"/>
        </w:rPr>
      </w:pPr>
      <w:r w:rsidRPr="001A7842">
        <w:rPr>
          <w:rFonts w:ascii="Verdana" w:eastAsia="Calibri" w:hAnsi="Verdana" w:cs="Calibri"/>
          <w:sz w:val="24"/>
          <w:szCs w:val="24"/>
        </w:rPr>
        <w:t xml:space="preserve">La gobernabilidad de </w:t>
      </w:r>
      <w:r w:rsidR="007A6745" w:rsidRPr="001A7842">
        <w:rPr>
          <w:rFonts w:ascii="Verdana" w:eastAsia="Calibri" w:hAnsi="Verdana" w:cs="Calibri"/>
          <w:sz w:val="24"/>
          <w:szCs w:val="24"/>
        </w:rPr>
        <w:t>Duhalde</w:t>
      </w:r>
      <w:r w:rsidRPr="001A7842">
        <w:rPr>
          <w:rFonts w:ascii="Verdana" w:eastAsia="Calibri" w:hAnsi="Verdana" w:cs="Calibri"/>
          <w:sz w:val="24"/>
          <w:szCs w:val="24"/>
        </w:rPr>
        <w:t xml:space="preserve"> comienza a ponerse en duda y se va obligado a convocar elecciones para abril 2003.</w:t>
      </w:r>
    </w:p>
    <w:p w14:paraId="5C54AE3F" w14:textId="4EE98AC2" w:rsidR="00A33B5C" w:rsidRPr="001A7842" w:rsidRDefault="00A33B5C">
      <w:pPr>
        <w:rPr>
          <w:rFonts w:ascii="Verdana" w:hAnsi="Verdana"/>
        </w:rPr>
      </w:pPr>
    </w:p>
    <w:p w14:paraId="6F2585E6" w14:textId="6F24B93D" w:rsidR="00B7444A" w:rsidRPr="001A7842" w:rsidRDefault="00B7444A">
      <w:pPr>
        <w:rPr>
          <w:rFonts w:ascii="Verdana" w:hAnsi="Verdana" w:cstheme="minorHAnsi"/>
          <w:sz w:val="22"/>
          <w:szCs w:val="22"/>
        </w:rPr>
      </w:pPr>
      <w:r w:rsidRPr="001A7842">
        <w:rPr>
          <w:rFonts w:ascii="Verdana" w:hAnsi="Verdana" w:cstheme="minorHAnsi"/>
          <w:sz w:val="22"/>
          <w:szCs w:val="22"/>
        </w:rPr>
        <w:t>BILBLIOGRAFIA</w:t>
      </w:r>
    </w:p>
    <w:bookmarkStart w:id="0" w:name="_Hlk182655203"/>
    <w:p w14:paraId="5478BF18" w14:textId="77777777" w:rsidR="00B7444A" w:rsidRPr="001A7842" w:rsidRDefault="00B7444A" w:rsidP="00B7444A">
      <w:pPr>
        <w:pStyle w:val="Prrafodelista"/>
        <w:numPr>
          <w:ilvl w:val="0"/>
          <w:numId w:val="3"/>
        </w:numPr>
        <w:rPr>
          <w:rStyle w:val="Hipervnculo"/>
          <w:rFonts w:ascii="Verdana" w:hAnsi="Verdana"/>
          <w:b/>
          <w:bCs/>
          <w:color w:val="auto"/>
          <w:sz w:val="22"/>
          <w:szCs w:val="22"/>
          <w:u w:val="none"/>
        </w:rPr>
      </w:pPr>
      <w:r w:rsidRPr="001A7842">
        <w:rPr>
          <w:rFonts w:ascii="Verdana" w:hAnsi="Verdana"/>
          <w:sz w:val="22"/>
          <w:szCs w:val="22"/>
        </w:rPr>
        <w:fldChar w:fldCharType="begin"/>
      </w:r>
      <w:r w:rsidRPr="001A7842">
        <w:rPr>
          <w:rFonts w:ascii="Verdana" w:hAnsi="Verdana"/>
          <w:sz w:val="22"/>
          <w:szCs w:val="22"/>
        </w:rPr>
        <w:instrText>HYPERLINK "https://www.argentina.gob.ar/sites/default/files/deuda_externa_y_economia_nacional.pdf"</w:instrText>
      </w:r>
      <w:r w:rsidRPr="001A7842">
        <w:rPr>
          <w:rFonts w:ascii="Verdana" w:hAnsi="Verdana"/>
          <w:sz w:val="22"/>
          <w:szCs w:val="22"/>
        </w:rPr>
      </w:r>
      <w:r w:rsidRPr="001A7842">
        <w:rPr>
          <w:rFonts w:ascii="Verdana" w:hAnsi="Verdana"/>
          <w:sz w:val="22"/>
          <w:szCs w:val="22"/>
        </w:rPr>
        <w:fldChar w:fldCharType="separate"/>
      </w:r>
      <w:r w:rsidRPr="001A7842">
        <w:rPr>
          <w:rStyle w:val="Hipervnculo"/>
          <w:rFonts w:ascii="Verdana" w:hAnsi="Verdana"/>
          <w:b/>
          <w:bCs/>
          <w:sz w:val="22"/>
          <w:szCs w:val="22"/>
        </w:rPr>
        <w:t>https://www.argentina.gob.ar/sites/default/files/deuda_externa_y_economia_nacional.pdf</w:t>
      </w:r>
      <w:r w:rsidRPr="001A7842">
        <w:rPr>
          <w:rStyle w:val="Hipervnculo"/>
          <w:rFonts w:ascii="Verdana" w:hAnsi="Verdana"/>
          <w:b/>
          <w:bCs/>
          <w:sz w:val="22"/>
          <w:szCs w:val="22"/>
        </w:rPr>
        <w:fldChar w:fldCharType="end"/>
      </w:r>
    </w:p>
    <w:bookmarkStart w:id="1" w:name="_Hlk182655234"/>
    <w:p w14:paraId="7BBCE998" w14:textId="77777777" w:rsidR="00B7444A" w:rsidRPr="001A7842" w:rsidRDefault="00B7444A" w:rsidP="00B7444A">
      <w:pPr>
        <w:pStyle w:val="Prrafodelista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1A7842">
        <w:rPr>
          <w:rFonts w:ascii="Verdana" w:hAnsi="Verdana"/>
          <w:sz w:val="22"/>
          <w:szCs w:val="22"/>
        </w:rPr>
        <w:fldChar w:fldCharType="begin"/>
      </w:r>
      <w:r w:rsidRPr="001A7842">
        <w:rPr>
          <w:rFonts w:ascii="Verdana" w:hAnsi="Verdana"/>
          <w:sz w:val="22"/>
          <w:szCs w:val="22"/>
        </w:rPr>
        <w:instrText>HYPERLINK "https://www.ungs.edu.ar/wp-content/uploads/2009/11/Juan_Pablo_Pilatti_Federico_Saravia_Juan_Ignacio_Marutian_La_Deuda_Externa_argentina.pdf"</w:instrText>
      </w:r>
      <w:r w:rsidRPr="001A7842">
        <w:rPr>
          <w:rFonts w:ascii="Verdana" w:hAnsi="Verdana"/>
          <w:sz w:val="22"/>
          <w:szCs w:val="22"/>
        </w:rPr>
      </w:r>
      <w:r w:rsidRPr="001A7842">
        <w:rPr>
          <w:rFonts w:ascii="Verdana" w:hAnsi="Verdana"/>
          <w:sz w:val="22"/>
          <w:szCs w:val="22"/>
        </w:rPr>
        <w:fldChar w:fldCharType="separate"/>
      </w:r>
      <w:r w:rsidRPr="001A7842">
        <w:rPr>
          <w:rStyle w:val="Hipervnculo"/>
          <w:rFonts w:ascii="Verdana" w:hAnsi="Verdana"/>
          <w:b/>
          <w:bCs/>
          <w:sz w:val="22"/>
          <w:szCs w:val="22"/>
        </w:rPr>
        <w:t>https://www.ungs.edu.ar/wp-content/uploads/2009/11/Juan_Pablo_Pilatti_Federico_Saravia_Juan_Ignacio_Marutian_La_Deuda_Externa_argentina.pdf</w:t>
      </w:r>
      <w:r w:rsidRPr="001A7842">
        <w:rPr>
          <w:rStyle w:val="Hipervnculo"/>
          <w:rFonts w:ascii="Verdana" w:hAnsi="Verdana"/>
          <w:b/>
          <w:bCs/>
          <w:sz w:val="22"/>
          <w:szCs w:val="22"/>
        </w:rPr>
        <w:fldChar w:fldCharType="end"/>
      </w:r>
      <w:r w:rsidRPr="001A7842">
        <w:rPr>
          <w:rFonts w:ascii="Verdana" w:hAnsi="Verdana"/>
          <w:b/>
          <w:bCs/>
          <w:sz w:val="22"/>
          <w:szCs w:val="22"/>
        </w:rPr>
        <w:t xml:space="preserve"> </w:t>
      </w:r>
    </w:p>
    <w:bookmarkStart w:id="2" w:name="_Hlk182589671"/>
    <w:bookmarkEnd w:id="1"/>
    <w:p w14:paraId="782E0D30" w14:textId="77777777" w:rsidR="00B7444A" w:rsidRPr="001A7842" w:rsidRDefault="00B7444A" w:rsidP="00B7444A">
      <w:pPr>
        <w:pStyle w:val="Prrafodelista"/>
        <w:numPr>
          <w:ilvl w:val="0"/>
          <w:numId w:val="3"/>
        </w:numPr>
        <w:rPr>
          <w:rStyle w:val="Hipervnculo"/>
          <w:rFonts w:ascii="Verdana" w:hAnsi="Verdana"/>
          <w:b/>
          <w:bCs/>
          <w:sz w:val="22"/>
          <w:szCs w:val="22"/>
        </w:rPr>
      </w:pPr>
      <w:r w:rsidRPr="001A7842">
        <w:rPr>
          <w:rFonts w:ascii="Verdana" w:hAnsi="Verdana"/>
          <w:sz w:val="22"/>
          <w:szCs w:val="22"/>
        </w:rPr>
        <w:fldChar w:fldCharType="begin"/>
      </w:r>
      <w:r w:rsidRPr="001A7842">
        <w:rPr>
          <w:rFonts w:ascii="Verdana" w:hAnsi="Verdana"/>
          <w:sz w:val="22"/>
          <w:szCs w:val="22"/>
        </w:rPr>
        <w:instrText>HYPERLINK "http://bibliotecadigital.econ.uba.ar/download/ciclos/ciclos_v22_n42-43_01.pdf"</w:instrText>
      </w:r>
      <w:r w:rsidRPr="001A7842">
        <w:rPr>
          <w:rFonts w:ascii="Verdana" w:hAnsi="Verdana"/>
          <w:sz w:val="22"/>
          <w:szCs w:val="22"/>
        </w:rPr>
      </w:r>
      <w:r w:rsidRPr="001A7842">
        <w:rPr>
          <w:rFonts w:ascii="Verdana" w:hAnsi="Verdana"/>
          <w:sz w:val="22"/>
          <w:szCs w:val="22"/>
        </w:rPr>
        <w:fldChar w:fldCharType="separate"/>
      </w:r>
      <w:r w:rsidRPr="001A7842">
        <w:rPr>
          <w:rStyle w:val="Hipervnculo"/>
          <w:rFonts w:ascii="Verdana" w:hAnsi="Verdana"/>
          <w:b/>
          <w:bCs/>
          <w:sz w:val="22"/>
          <w:szCs w:val="22"/>
        </w:rPr>
        <w:t>http://bibliotecadigital.econ.uba.ar/download/ciclos/ciclos_v22_n42-43_01.pdf</w:t>
      </w:r>
      <w:r w:rsidRPr="001A7842">
        <w:rPr>
          <w:rStyle w:val="Hipervnculo"/>
          <w:rFonts w:ascii="Verdana" w:hAnsi="Verdana"/>
          <w:b/>
          <w:bCs/>
          <w:sz w:val="22"/>
          <w:szCs w:val="22"/>
        </w:rPr>
        <w:fldChar w:fldCharType="end"/>
      </w:r>
    </w:p>
    <w:bookmarkEnd w:id="2"/>
    <w:p w14:paraId="0D29D8EA" w14:textId="16C2C07C" w:rsidR="00B7444A" w:rsidRPr="001A7842" w:rsidRDefault="00B7444A" w:rsidP="00B7444A">
      <w:pPr>
        <w:pStyle w:val="Prrafodelista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1A7842">
        <w:rPr>
          <w:rFonts w:ascii="Verdana" w:hAnsi="Verdana"/>
          <w:b/>
          <w:bCs/>
          <w:sz w:val="22"/>
          <w:szCs w:val="22"/>
        </w:rPr>
        <w:fldChar w:fldCharType="begin"/>
      </w:r>
      <w:r w:rsidRPr="001A7842">
        <w:rPr>
          <w:rFonts w:ascii="Verdana" w:hAnsi="Verdana"/>
          <w:b/>
          <w:bCs/>
          <w:sz w:val="22"/>
          <w:szCs w:val="22"/>
        </w:rPr>
        <w:instrText>HYPERLINK "</w:instrText>
      </w:r>
      <w:r w:rsidRPr="001A7842">
        <w:rPr>
          <w:rFonts w:ascii="Verdana" w:hAnsi="Verdana"/>
          <w:b/>
          <w:bCs/>
          <w:sz w:val="22"/>
          <w:szCs w:val="22"/>
        </w:rPr>
        <w:instrText>https://vocesenelfenix.economicas.uba.ar/el-ultimo-intento-de-salvar-la-valorizacion-financiera-el-blindaje-el-megacanje-y-los-prestamos-garantizados/</w:instrText>
      </w:r>
      <w:r w:rsidRPr="001A7842">
        <w:rPr>
          <w:rFonts w:ascii="Verdana" w:hAnsi="Verdana"/>
          <w:b/>
          <w:bCs/>
          <w:sz w:val="22"/>
          <w:szCs w:val="22"/>
        </w:rPr>
        <w:instrText>"</w:instrText>
      </w:r>
      <w:r w:rsidRPr="001A7842">
        <w:rPr>
          <w:rFonts w:ascii="Verdana" w:hAnsi="Verdana"/>
          <w:b/>
          <w:bCs/>
          <w:sz w:val="22"/>
          <w:szCs w:val="22"/>
        </w:rPr>
        <w:fldChar w:fldCharType="separate"/>
      </w:r>
      <w:r w:rsidRPr="001A7842">
        <w:rPr>
          <w:rStyle w:val="Hipervnculo"/>
          <w:rFonts w:ascii="Verdana" w:hAnsi="Verdana"/>
          <w:b/>
          <w:bCs/>
          <w:sz w:val="22"/>
          <w:szCs w:val="22"/>
        </w:rPr>
        <w:t>https://vocesenelfenix.economicas.uba.ar/el-ultimo-intento-de-salvar-la-valorizacion-financiera-el-blindaje-el-megacanje-y-los-prestamos-garantizados/</w:t>
      </w:r>
      <w:r w:rsidRPr="001A7842">
        <w:rPr>
          <w:rFonts w:ascii="Verdana" w:hAnsi="Verdana"/>
          <w:b/>
          <w:bCs/>
          <w:sz w:val="22"/>
          <w:szCs w:val="22"/>
        </w:rPr>
        <w:fldChar w:fldCharType="end"/>
      </w:r>
    </w:p>
    <w:p w14:paraId="4909E21E" w14:textId="65BE833C" w:rsidR="00B7444A" w:rsidRPr="001A7842" w:rsidRDefault="00B7444A" w:rsidP="00B7444A">
      <w:pPr>
        <w:pStyle w:val="Prrafodelista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hyperlink r:id="rId5" w:history="1">
        <w:r w:rsidRPr="001A7842">
          <w:rPr>
            <w:rStyle w:val="Hipervnculo"/>
            <w:rFonts w:ascii="Verdana" w:hAnsi="Verdana"/>
            <w:b/>
            <w:bCs/>
            <w:sz w:val="22"/>
            <w:szCs w:val="22"/>
          </w:rPr>
          <w:t>https://es.wikipedia.org/wiki/Historia_de_la_deuda_externa_argentina</w:t>
        </w:r>
      </w:hyperlink>
    </w:p>
    <w:p w14:paraId="6AE2A03A" w14:textId="7FD9B727" w:rsidR="00B7444A" w:rsidRPr="001A7842" w:rsidRDefault="00B7444A" w:rsidP="00B7444A">
      <w:pPr>
        <w:pStyle w:val="Prrafodelista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hyperlink r:id="rId6" w:history="1">
        <w:r w:rsidRPr="001A7842">
          <w:rPr>
            <w:rStyle w:val="Hipervnculo"/>
            <w:rFonts w:ascii="Verdana" w:hAnsi="Verdana"/>
            <w:b/>
            <w:bCs/>
            <w:sz w:val="22"/>
            <w:szCs w:val="22"/>
          </w:rPr>
          <w:t>https://www.ciepp.org.ar/images/La_Deuda_Externa_Argentina.pdf</w:t>
        </w:r>
      </w:hyperlink>
    </w:p>
    <w:p w14:paraId="2C01FEB6" w14:textId="269E32CD" w:rsidR="00B7444A" w:rsidRPr="001A7842" w:rsidRDefault="00B7444A" w:rsidP="00B7444A">
      <w:pPr>
        <w:pStyle w:val="Prrafodelista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hyperlink r:id="rId7" w:history="1">
        <w:r w:rsidRPr="001A7842">
          <w:rPr>
            <w:rStyle w:val="Hipervnculo"/>
            <w:rFonts w:ascii="Verdana" w:hAnsi="Verdana"/>
            <w:b/>
            <w:bCs/>
            <w:sz w:val="22"/>
            <w:szCs w:val="22"/>
          </w:rPr>
          <w:t>https://www.cfkargentina.com/blindaje-mega-canje-estafa-financiera-fondos-buitres/</w:t>
        </w:r>
      </w:hyperlink>
    </w:p>
    <w:p w14:paraId="7E71E49D" w14:textId="5332571F" w:rsidR="00B7444A" w:rsidRPr="001A7842" w:rsidRDefault="00B7444A" w:rsidP="00B7444A">
      <w:pPr>
        <w:pStyle w:val="Prrafodelista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1A7842">
        <w:rPr>
          <w:rFonts w:ascii="Verdana" w:hAnsi="Verdana"/>
          <w:b/>
          <w:bCs/>
          <w:sz w:val="22"/>
          <w:szCs w:val="22"/>
        </w:rPr>
        <w:t>http://www.finanzasunlp.com.ar/#</w:t>
      </w:r>
    </w:p>
    <w:bookmarkEnd w:id="0"/>
    <w:p w14:paraId="231334AB" w14:textId="77777777" w:rsidR="00B7444A" w:rsidRDefault="00B7444A" w:rsidP="00B7444A">
      <w:pPr>
        <w:pStyle w:val="Prrafodelista"/>
        <w:ind w:left="720"/>
      </w:pPr>
    </w:p>
    <w:sectPr w:rsidR="00B7444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C50DB"/>
    <w:multiLevelType w:val="hybridMultilevel"/>
    <w:tmpl w:val="5A5612EE"/>
    <w:lvl w:ilvl="0" w:tplc="766EC3E6">
      <w:start w:val="1"/>
      <w:numFmt w:val="bullet"/>
      <w:lvlText w:val="●"/>
      <w:lvlJc w:val="left"/>
      <w:pPr>
        <w:ind w:left="720" w:hanging="360"/>
      </w:pPr>
    </w:lvl>
    <w:lvl w:ilvl="1" w:tplc="F0CEBDD6">
      <w:start w:val="1"/>
      <w:numFmt w:val="bullet"/>
      <w:lvlText w:val="○"/>
      <w:lvlJc w:val="left"/>
      <w:pPr>
        <w:ind w:left="1440" w:hanging="360"/>
      </w:pPr>
    </w:lvl>
    <w:lvl w:ilvl="2" w:tplc="5F50DAAA">
      <w:start w:val="1"/>
      <w:numFmt w:val="bullet"/>
      <w:lvlText w:val="■"/>
      <w:lvlJc w:val="left"/>
      <w:pPr>
        <w:ind w:left="2160" w:hanging="360"/>
      </w:pPr>
    </w:lvl>
    <w:lvl w:ilvl="3" w:tplc="3F4C92A2">
      <w:start w:val="1"/>
      <w:numFmt w:val="bullet"/>
      <w:lvlText w:val="●"/>
      <w:lvlJc w:val="left"/>
      <w:pPr>
        <w:ind w:left="2880" w:hanging="360"/>
      </w:pPr>
    </w:lvl>
    <w:lvl w:ilvl="4" w:tplc="D10E8CF8">
      <w:start w:val="1"/>
      <w:numFmt w:val="bullet"/>
      <w:lvlText w:val="○"/>
      <w:lvlJc w:val="left"/>
      <w:pPr>
        <w:ind w:left="3600" w:hanging="360"/>
      </w:pPr>
    </w:lvl>
    <w:lvl w:ilvl="5" w:tplc="6A9C5464">
      <w:start w:val="1"/>
      <w:numFmt w:val="bullet"/>
      <w:lvlText w:val="■"/>
      <w:lvlJc w:val="left"/>
      <w:pPr>
        <w:ind w:left="4320" w:hanging="360"/>
      </w:pPr>
    </w:lvl>
    <w:lvl w:ilvl="6" w:tplc="F09E5EF4">
      <w:start w:val="1"/>
      <w:numFmt w:val="bullet"/>
      <w:lvlText w:val="●"/>
      <w:lvlJc w:val="left"/>
      <w:pPr>
        <w:ind w:left="5040" w:hanging="360"/>
      </w:pPr>
    </w:lvl>
    <w:lvl w:ilvl="7" w:tplc="3F6442C8">
      <w:start w:val="1"/>
      <w:numFmt w:val="bullet"/>
      <w:lvlText w:val="●"/>
      <w:lvlJc w:val="left"/>
      <w:pPr>
        <w:ind w:left="5760" w:hanging="360"/>
      </w:pPr>
    </w:lvl>
    <w:lvl w:ilvl="8" w:tplc="3EDE1AA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C3064F1"/>
    <w:multiLevelType w:val="hybridMultilevel"/>
    <w:tmpl w:val="6F6C1A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70F37"/>
    <w:multiLevelType w:val="hybridMultilevel"/>
    <w:tmpl w:val="CABAF7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117680">
    <w:abstractNumId w:val="0"/>
    <w:lvlOverride w:ilvl="0">
      <w:startOverride w:val="1"/>
    </w:lvlOverride>
  </w:num>
  <w:num w:numId="2" w16cid:durableId="1081566704">
    <w:abstractNumId w:val="2"/>
  </w:num>
  <w:num w:numId="3" w16cid:durableId="184145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5C"/>
    <w:rsid w:val="000F6549"/>
    <w:rsid w:val="001A7842"/>
    <w:rsid w:val="00514645"/>
    <w:rsid w:val="007A6745"/>
    <w:rsid w:val="0080256D"/>
    <w:rsid w:val="00A33B5C"/>
    <w:rsid w:val="00B7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A7A5"/>
  <w15:docId w15:val="{A9537D07-86D0-47D2-94C3-4A2DDF61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0F65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6549"/>
    <w:pPr>
      <w:spacing w:before="100" w:beforeAutospacing="1" w:after="100" w:afterAutospacing="1"/>
    </w:pPr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7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fkargentina.com/blindaje-mega-canje-estafa-financiera-fondos-buit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epp.org.ar/images/La_Deuda_Externa_Argentina.pdf" TargetMode="External"/><Relationship Id="rId5" Type="http://schemas.openxmlformats.org/officeDocument/2006/relationships/hyperlink" Target="https://es.wikipedia.org/wiki/Historia_de_la_deuda_externa_argenti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1295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Audio de WhatsApp 2024-11-21 a las 00.33.23 488781d2.dat (online-audio-converter.com)</vt:lpstr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de WhatsApp 2024-11-21 a las 00.33.23 488781d2.dat (online-audio-converter.com)</dc:title>
  <dc:creator>TurboScribe.ai</dc:creator>
  <cp:lastModifiedBy>Agostina</cp:lastModifiedBy>
  <cp:revision>5</cp:revision>
  <dcterms:created xsi:type="dcterms:W3CDTF">2024-11-21T03:36:00Z</dcterms:created>
  <dcterms:modified xsi:type="dcterms:W3CDTF">2024-11-21T20:51:00Z</dcterms:modified>
</cp:coreProperties>
</file>