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919" w:rsidRDefault="00B25919" w:rsidP="00B25919">
      <w:pPr>
        <w:rPr>
          <w:rFonts w:ascii="Arial" w:eastAsia="Times New Roman" w:hAnsi="Arial" w:cs="Arial"/>
          <w:i/>
          <w:sz w:val="28"/>
          <w:szCs w:val="28"/>
        </w:rPr>
      </w:pPr>
      <w:r>
        <w:rPr>
          <w:rFonts w:ascii="Arial" w:hAnsi="Arial" w:cs="Arial"/>
          <w:sz w:val="28"/>
          <w:szCs w:val="28"/>
        </w:rPr>
        <w:t xml:space="preserve">Cláusula </w:t>
      </w:r>
      <w:r>
        <w:rPr>
          <w:rFonts w:ascii="Arial" w:hAnsi="Arial" w:cs="Arial"/>
          <w:i/>
          <w:sz w:val="28"/>
          <w:szCs w:val="28"/>
        </w:rPr>
        <w:t>“</w:t>
      </w:r>
      <w:proofErr w:type="spellStart"/>
      <w:r>
        <w:rPr>
          <w:rFonts w:ascii="Arial" w:hAnsi="Arial" w:cs="Arial"/>
          <w:i/>
          <w:sz w:val="28"/>
          <w:szCs w:val="28"/>
        </w:rPr>
        <w:t>Pari</w:t>
      </w:r>
      <w:proofErr w:type="spellEnd"/>
      <w:r>
        <w:rPr>
          <w:rFonts w:ascii="Arial" w:hAnsi="Arial" w:cs="Arial"/>
          <w:i/>
          <w:sz w:val="28"/>
          <w:szCs w:val="28"/>
        </w:rPr>
        <w:t xml:space="preserve"> </w:t>
      </w:r>
      <w:proofErr w:type="spellStart"/>
      <w:r>
        <w:rPr>
          <w:rFonts w:ascii="Arial" w:hAnsi="Arial" w:cs="Arial"/>
          <w:i/>
          <w:sz w:val="28"/>
          <w:szCs w:val="28"/>
        </w:rPr>
        <w:t>Passu</w:t>
      </w:r>
      <w:proofErr w:type="spellEnd"/>
      <w:r>
        <w:rPr>
          <w:rFonts w:ascii="Arial" w:hAnsi="Arial" w:cs="Arial"/>
          <w:i/>
          <w:sz w:val="28"/>
          <w:szCs w:val="28"/>
        </w:rPr>
        <w:t>”</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 xml:space="preserve">A lo largo de las distintas exposiciones estudiantiles sobre el tratamiento político y económico realizado al rededor del tópico “Deuda Externa Argentina” a lo largo del último </w:t>
      </w:r>
      <w:proofErr w:type="spellStart"/>
      <w:r>
        <w:rPr>
          <w:rFonts w:ascii="Arial" w:hAnsi="Arial" w:cs="Arial"/>
          <w:sz w:val="28"/>
          <w:szCs w:val="28"/>
        </w:rPr>
        <w:t>decalustro</w:t>
      </w:r>
      <w:proofErr w:type="spellEnd"/>
      <w:r>
        <w:rPr>
          <w:rFonts w:ascii="Arial" w:hAnsi="Arial" w:cs="Arial"/>
          <w:sz w:val="28"/>
          <w:szCs w:val="28"/>
        </w:rPr>
        <w:t xml:space="preserve">, toca ahora abordar otra de sus aristas, la Cláusula </w:t>
      </w:r>
      <w:r>
        <w:rPr>
          <w:rFonts w:ascii="Arial" w:hAnsi="Arial" w:cs="Arial"/>
          <w:i/>
          <w:sz w:val="28"/>
          <w:szCs w:val="28"/>
        </w:rPr>
        <w:t>“</w:t>
      </w:r>
      <w:proofErr w:type="spellStart"/>
      <w:r>
        <w:rPr>
          <w:rFonts w:ascii="Arial" w:hAnsi="Arial" w:cs="Arial"/>
          <w:i/>
          <w:sz w:val="28"/>
          <w:szCs w:val="28"/>
        </w:rPr>
        <w:t>Pari</w:t>
      </w:r>
      <w:proofErr w:type="spellEnd"/>
      <w:r>
        <w:rPr>
          <w:rFonts w:ascii="Arial" w:hAnsi="Arial" w:cs="Arial"/>
          <w:i/>
          <w:sz w:val="28"/>
          <w:szCs w:val="28"/>
        </w:rPr>
        <w:t xml:space="preserve"> </w:t>
      </w:r>
      <w:proofErr w:type="spellStart"/>
      <w:r>
        <w:rPr>
          <w:rFonts w:ascii="Arial" w:hAnsi="Arial" w:cs="Arial"/>
          <w:i/>
          <w:sz w:val="28"/>
          <w:szCs w:val="28"/>
        </w:rPr>
        <w:t>Passu</w:t>
      </w:r>
      <w:proofErr w:type="spellEnd"/>
      <w:r>
        <w:rPr>
          <w:rFonts w:ascii="Arial" w:hAnsi="Arial" w:cs="Arial"/>
          <w:i/>
          <w:sz w:val="28"/>
          <w:szCs w:val="28"/>
        </w:rPr>
        <w:t>”</w:t>
      </w:r>
      <w:r>
        <w:rPr>
          <w:rFonts w:ascii="Arial" w:hAnsi="Arial" w:cs="Arial"/>
          <w:sz w:val="28"/>
          <w:szCs w:val="28"/>
        </w:rPr>
        <w:t xml:space="preserve"> y sus implicancias en el marco del “Proceso de Reestructuración de la Deuda”. </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Ya vimos que el origen de la deuda allá por inicio de los años ´70 obedece a la liberalización y desregulación del sector financiero en sintonía con las ideas imperantes del neoliberalismo, que rápidamente promovió la toma de ganancias no ya por los canales del comercio y la producción sino provenientes del sector financiero.</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Las dificultades nacionales que se avizoraban y las condiciones internacionales con crecientes tasas de interés propiciaron rápidamente un movimiento de capitales –Fuga- dejando en una posición desventajosa a países de economía periférica y con serias limitaciones para encauzar sus economías.</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 xml:space="preserve">Lamentablemente este panorama no fue patrimonio exclusivo de nuestro país, sino que se replicó en muchos otros, lo que lejos de ser un consuelo puso de manifiesto la incapacidad de actuar colectivamente formando un bloque de deudores que les permitiera negociar sus pasivos sin quedar a merced de sus acreedores, especialmente los </w:t>
      </w:r>
      <w:proofErr w:type="spellStart"/>
      <w:r>
        <w:rPr>
          <w:rFonts w:ascii="Arial" w:hAnsi="Arial" w:cs="Arial"/>
          <w:b/>
          <w:sz w:val="28"/>
          <w:szCs w:val="28"/>
        </w:rPr>
        <w:t>Holdouts</w:t>
      </w:r>
      <w:proofErr w:type="spellEnd"/>
      <w:r>
        <w:rPr>
          <w:rFonts w:ascii="Arial" w:hAnsi="Arial" w:cs="Arial"/>
          <w:sz w:val="28"/>
          <w:szCs w:val="28"/>
        </w:rPr>
        <w:t xml:space="preserve"> o acreedores que no acuerdan ingresar en una reestructuración.</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Asi los Estados deudores han debido enfrentar a los F</w:t>
      </w:r>
      <w:r>
        <w:rPr>
          <w:rFonts w:ascii="Arial" w:hAnsi="Arial" w:cs="Arial"/>
          <w:b/>
          <w:sz w:val="28"/>
          <w:szCs w:val="28"/>
        </w:rPr>
        <w:t>ondos “buitres”</w:t>
      </w:r>
      <w:r>
        <w:rPr>
          <w:rFonts w:ascii="Arial" w:hAnsi="Arial" w:cs="Arial"/>
          <w:sz w:val="28"/>
          <w:szCs w:val="28"/>
        </w:rPr>
        <w:t xml:space="preserve"> que, sintéticamente explicado, toman la forma institucional de fondo de </w:t>
      </w:r>
      <w:r>
        <w:rPr>
          <w:rFonts w:ascii="Arial" w:hAnsi="Arial" w:cs="Arial"/>
          <w:sz w:val="28"/>
          <w:szCs w:val="28"/>
        </w:rPr>
        <w:lastRenderedPageBreak/>
        <w:t>inversión, que se especializan en realizar inversiones sofisticadas y altamente riesgosas. Aprovechando la escasa regulación a la que están sometidos. Aunque también adquieren deuda corporativa, su accionar más controversial se relaciona con los títulos de deuda</w:t>
      </w:r>
      <w:r>
        <w:t xml:space="preserve"> </w:t>
      </w:r>
      <w:r>
        <w:rPr>
          <w:rFonts w:ascii="Arial" w:hAnsi="Arial" w:cs="Arial"/>
          <w:sz w:val="28"/>
          <w:szCs w:val="28"/>
        </w:rPr>
        <w:t>pública que adquieren a muy bajo precio, títulos de países que se dirigen o ya entraron en una cesación de pagos, y con los cuales están dispuesto a litigar reclamando el cobro del total de la deuda. Prácticas que se han hecho recurrentes a partir de los episodios que involucraron a Perú, Congo y Etiopía en los ’90.</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El accionar de los fondos buitre y los fallos favorables a las demandas interpuestas terminaron convalidando sus prácticas, generado asi un desequilibrio financiero en los países deudores y como contrapartida, con los beneficios extraordinarios obtenidos vio fortalecida su posición generando un incentivo para reproducir este mecanismo para tomar ganancias.</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 xml:space="preserve">Con relación a las demandas de los acreedores se presenta un elemento adicional, relativo a la interpretación y alcance de cláusulas contractuales como la </w:t>
      </w:r>
      <w:r>
        <w:rPr>
          <w:rFonts w:ascii="Arial" w:hAnsi="Arial" w:cs="Arial"/>
          <w:i/>
          <w:sz w:val="28"/>
          <w:szCs w:val="28"/>
        </w:rPr>
        <w:t>“</w:t>
      </w:r>
      <w:proofErr w:type="spellStart"/>
      <w:r>
        <w:rPr>
          <w:rFonts w:ascii="Arial" w:hAnsi="Arial" w:cs="Arial"/>
          <w:i/>
          <w:sz w:val="28"/>
          <w:szCs w:val="28"/>
        </w:rPr>
        <w:t>Pari</w:t>
      </w:r>
      <w:proofErr w:type="spellEnd"/>
      <w:r>
        <w:rPr>
          <w:rFonts w:ascii="Arial" w:hAnsi="Arial" w:cs="Arial"/>
          <w:i/>
          <w:sz w:val="28"/>
          <w:szCs w:val="28"/>
        </w:rPr>
        <w:t xml:space="preserve"> </w:t>
      </w:r>
      <w:proofErr w:type="spellStart"/>
      <w:r>
        <w:rPr>
          <w:rFonts w:ascii="Arial" w:hAnsi="Arial" w:cs="Arial"/>
          <w:i/>
          <w:sz w:val="28"/>
          <w:szCs w:val="28"/>
        </w:rPr>
        <w:t>Passu</w:t>
      </w:r>
      <w:proofErr w:type="spellEnd"/>
      <w:r>
        <w:rPr>
          <w:rFonts w:ascii="Arial" w:hAnsi="Arial" w:cs="Arial"/>
          <w:i/>
          <w:sz w:val="28"/>
          <w:szCs w:val="28"/>
        </w:rPr>
        <w:t>”</w:t>
      </w:r>
      <w:r>
        <w:rPr>
          <w:rFonts w:ascii="Arial" w:hAnsi="Arial" w:cs="Arial"/>
          <w:sz w:val="28"/>
          <w:szCs w:val="28"/>
        </w:rPr>
        <w:t xml:space="preserve">. De origen latino, significa “con igual paso”, lo que es entendido como “en igualdad de condiciones”, “en forma equitativa” o “imparcial”. Si bien no tenía un significado unificado, hasta el caso </w:t>
      </w:r>
      <w:proofErr w:type="spellStart"/>
      <w:r>
        <w:rPr>
          <w:rFonts w:ascii="Arial" w:hAnsi="Arial" w:cs="Arial"/>
          <w:sz w:val="28"/>
          <w:szCs w:val="28"/>
        </w:rPr>
        <w:t>Elliot</w:t>
      </w:r>
      <w:proofErr w:type="spellEnd"/>
      <w:r>
        <w:rPr>
          <w:rFonts w:ascii="Arial" w:hAnsi="Arial" w:cs="Arial"/>
          <w:sz w:val="28"/>
          <w:szCs w:val="28"/>
        </w:rPr>
        <w:t xml:space="preserve"> contra Perú de 1996 se la entendía como una promesa de tratamiento igualitario, es decir, el compromiso del Estado de no establecer medidas legales que resultaran en la discriminación entre acreedores o el trato preferencial de un grupo sobre el resto (en referencia a los derechos legales o de pago), pero no requería de parte del deudor la realización de pagos pro rata, es decir, de manera proporcional. Por tanto, suponía un rango </w:t>
      </w:r>
      <w:r>
        <w:rPr>
          <w:rFonts w:ascii="Arial" w:hAnsi="Arial" w:cs="Arial"/>
          <w:i/>
          <w:sz w:val="28"/>
          <w:szCs w:val="28"/>
        </w:rPr>
        <w:t>“</w:t>
      </w:r>
      <w:proofErr w:type="spellStart"/>
      <w:r>
        <w:rPr>
          <w:rFonts w:ascii="Arial" w:hAnsi="Arial" w:cs="Arial"/>
          <w:i/>
          <w:sz w:val="28"/>
          <w:szCs w:val="28"/>
        </w:rPr>
        <w:t>Pari</w:t>
      </w:r>
      <w:proofErr w:type="spellEnd"/>
      <w:r>
        <w:rPr>
          <w:rFonts w:ascii="Arial" w:hAnsi="Arial" w:cs="Arial"/>
          <w:i/>
          <w:sz w:val="28"/>
          <w:szCs w:val="28"/>
        </w:rPr>
        <w:t xml:space="preserve"> </w:t>
      </w:r>
      <w:proofErr w:type="spellStart"/>
      <w:r>
        <w:rPr>
          <w:rFonts w:ascii="Arial" w:hAnsi="Arial" w:cs="Arial"/>
          <w:i/>
          <w:sz w:val="28"/>
          <w:szCs w:val="28"/>
        </w:rPr>
        <w:t>Passu</w:t>
      </w:r>
      <w:proofErr w:type="spellEnd"/>
      <w:r>
        <w:rPr>
          <w:rFonts w:ascii="Arial" w:hAnsi="Arial" w:cs="Arial"/>
          <w:i/>
          <w:sz w:val="28"/>
          <w:szCs w:val="28"/>
        </w:rPr>
        <w:t>”</w:t>
      </w:r>
      <w:r>
        <w:rPr>
          <w:rFonts w:ascii="Arial" w:hAnsi="Arial" w:cs="Arial"/>
          <w:sz w:val="28"/>
          <w:szCs w:val="28"/>
        </w:rPr>
        <w:t>, pero no un pago</w:t>
      </w:r>
      <w:r>
        <w:rPr>
          <w:rFonts w:ascii="Arial" w:hAnsi="Arial" w:cs="Arial"/>
          <w:i/>
          <w:sz w:val="28"/>
          <w:szCs w:val="28"/>
        </w:rPr>
        <w:t xml:space="preserve"> “</w:t>
      </w:r>
      <w:proofErr w:type="spellStart"/>
      <w:r>
        <w:rPr>
          <w:rFonts w:ascii="Arial" w:hAnsi="Arial" w:cs="Arial"/>
          <w:i/>
          <w:sz w:val="28"/>
          <w:szCs w:val="28"/>
        </w:rPr>
        <w:t>Pari</w:t>
      </w:r>
      <w:proofErr w:type="spellEnd"/>
      <w:r>
        <w:rPr>
          <w:rFonts w:ascii="Arial" w:hAnsi="Arial" w:cs="Arial"/>
          <w:i/>
          <w:sz w:val="28"/>
          <w:szCs w:val="28"/>
        </w:rPr>
        <w:t xml:space="preserve"> </w:t>
      </w:r>
      <w:proofErr w:type="spellStart"/>
      <w:r>
        <w:rPr>
          <w:rFonts w:ascii="Arial" w:hAnsi="Arial" w:cs="Arial"/>
          <w:i/>
          <w:sz w:val="28"/>
          <w:szCs w:val="28"/>
        </w:rPr>
        <w:t>Passu</w:t>
      </w:r>
      <w:proofErr w:type="spellEnd"/>
      <w:r>
        <w:rPr>
          <w:rFonts w:ascii="Arial" w:hAnsi="Arial" w:cs="Arial"/>
          <w:i/>
          <w:sz w:val="28"/>
          <w:szCs w:val="28"/>
        </w:rPr>
        <w:t xml:space="preserve">” </w:t>
      </w:r>
      <w:r>
        <w:rPr>
          <w:rFonts w:ascii="Arial" w:hAnsi="Arial" w:cs="Arial"/>
          <w:sz w:val="28"/>
          <w:szCs w:val="28"/>
        </w:rPr>
        <w:t xml:space="preserve">como más tarde lo interpretaría el juez </w:t>
      </w:r>
      <w:proofErr w:type="spellStart"/>
      <w:r>
        <w:rPr>
          <w:rFonts w:ascii="Arial" w:hAnsi="Arial" w:cs="Arial"/>
          <w:sz w:val="28"/>
          <w:szCs w:val="28"/>
        </w:rPr>
        <w:t>Griesa</w:t>
      </w:r>
      <w:proofErr w:type="spellEnd"/>
      <w:r>
        <w:rPr>
          <w:rFonts w:ascii="Arial" w:hAnsi="Arial" w:cs="Arial"/>
          <w:sz w:val="28"/>
          <w:szCs w:val="28"/>
        </w:rPr>
        <w:t>.</w:t>
      </w:r>
    </w:p>
    <w:p w:rsidR="00B25919" w:rsidRDefault="00B25919" w:rsidP="00B25919">
      <w:pPr>
        <w:spacing w:line="360" w:lineRule="auto"/>
        <w:jc w:val="both"/>
        <w:rPr>
          <w:rFonts w:ascii="Arial" w:hAnsi="Arial" w:cs="Arial"/>
          <w:sz w:val="28"/>
          <w:szCs w:val="28"/>
        </w:rPr>
      </w:pPr>
      <w:r>
        <w:rPr>
          <w:rFonts w:ascii="Arial" w:hAnsi="Arial" w:cs="Arial"/>
          <w:sz w:val="28"/>
          <w:szCs w:val="28"/>
        </w:rPr>
        <w:t xml:space="preserve">A partir del caso del fondo NML contra la Argentina, conocido como el “juicio del siglo” en los tribunales de Nueva York por la literatura especializada, la interpretación extrema del pago pro rata realizada por el juez </w:t>
      </w:r>
      <w:proofErr w:type="spellStart"/>
      <w:r>
        <w:rPr>
          <w:rFonts w:ascii="Arial" w:hAnsi="Arial" w:cs="Arial"/>
          <w:sz w:val="28"/>
          <w:szCs w:val="28"/>
        </w:rPr>
        <w:t>Griesa</w:t>
      </w:r>
      <w:proofErr w:type="spellEnd"/>
      <w:r>
        <w:rPr>
          <w:rFonts w:ascii="Arial" w:hAnsi="Arial" w:cs="Arial"/>
          <w:sz w:val="28"/>
          <w:szCs w:val="28"/>
        </w:rPr>
        <w:t xml:space="preserve">  implicaba abonar el 100% a los litigantes si se quería seguir atendiendo los compromisos con otros acreedores. Interpretación que fue aceptada por diversos niveles de la justicia norteamericana dado que el litigio fue llevado hasta las últimas instancias de apelación, y se generó un intenso debate sobre dicha interpretación y sus consecuencias. </w:t>
      </w:r>
      <w:r>
        <w:rPr>
          <w:rFonts w:ascii="Arial" w:hAnsi="Arial" w:cs="Arial"/>
          <w:i/>
          <w:sz w:val="28"/>
          <w:szCs w:val="28"/>
        </w:rPr>
        <w:t>“Estos desarrollos recientes convirtieron a esta cláusula en el arma más poderosa en manos de los acreedores reticentes desde la diplomacia de las cañoneras del siglo XIX, ya que no solo habilita el cobro a los litigantes, sino que casi lo asegura al ser acompañada por medidas de bloqueo del pago a los Acreedores que acuerdan ingresar al canje de títulos”</w:t>
      </w:r>
      <w:r>
        <w:rPr>
          <w:rFonts w:ascii="Arial" w:hAnsi="Arial" w:cs="Arial"/>
          <w:sz w:val="28"/>
          <w:szCs w:val="28"/>
        </w:rPr>
        <w:t>.</w:t>
      </w:r>
      <w:r>
        <w:t xml:space="preserve"> </w:t>
      </w:r>
      <w:r>
        <w:rPr>
          <w:rFonts w:ascii="Arial" w:hAnsi="Arial" w:cs="Arial"/>
          <w:sz w:val="28"/>
          <w:szCs w:val="28"/>
        </w:rPr>
        <w:t xml:space="preserve">Según </w:t>
      </w:r>
      <w:proofErr w:type="spellStart"/>
      <w:r>
        <w:rPr>
          <w:rFonts w:ascii="Arial" w:hAnsi="Arial" w:cs="Arial"/>
          <w:sz w:val="28"/>
          <w:szCs w:val="28"/>
        </w:rPr>
        <w:t>Gelpern</w:t>
      </w:r>
      <w:proofErr w:type="spellEnd"/>
      <w:r>
        <w:rPr>
          <w:rFonts w:ascii="Arial" w:hAnsi="Arial" w:cs="Arial"/>
          <w:sz w:val="28"/>
          <w:szCs w:val="28"/>
        </w:rPr>
        <w:t>.</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i/>
          <w:sz w:val="28"/>
          <w:szCs w:val="28"/>
        </w:rPr>
      </w:pPr>
      <w:r>
        <w:rPr>
          <w:rFonts w:ascii="Arial" w:hAnsi="Arial" w:cs="Arial"/>
          <w:sz w:val="28"/>
          <w:szCs w:val="28"/>
        </w:rPr>
        <w:t xml:space="preserve">El fondo buitre NML, uno de los muchos demandantes, cambió su estrategia judicial. De manera similar al caso peruano, NML sostuvo que, desde 2005, la Argentina incumplía el principio de trato igualitario y equitativo derivado de la cláusula </w:t>
      </w:r>
      <w:r>
        <w:rPr>
          <w:rFonts w:ascii="Arial" w:hAnsi="Arial" w:cs="Arial"/>
          <w:i/>
          <w:sz w:val="28"/>
          <w:szCs w:val="28"/>
        </w:rPr>
        <w:t>“</w:t>
      </w:r>
      <w:proofErr w:type="spellStart"/>
      <w:r>
        <w:rPr>
          <w:rFonts w:ascii="Arial" w:hAnsi="Arial" w:cs="Arial"/>
          <w:i/>
          <w:sz w:val="28"/>
          <w:szCs w:val="28"/>
        </w:rPr>
        <w:t>Pari</w:t>
      </w:r>
      <w:proofErr w:type="spellEnd"/>
      <w:r>
        <w:rPr>
          <w:rFonts w:ascii="Arial" w:hAnsi="Arial" w:cs="Arial"/>
          <w:i/>
          <w:sz w:val="28"/>
          <w:szCs w:val="28"/>
        </w:rPr>
        <w:t xml:space="preserve"> </w:t>
      </w:r>
      <w:proofErr w:type="spellStart"/>
      <w:r>
        <w:rPr>
          <w:rFonts w:ascii="Arial" w:hAnsi="Arial" w:cs="Arial"/>
          <w:i/>
          <w:sz w:val="28"/>
          <w:szCs w:val="28"/>
        </w:rPr>
        <w:t>Passu</w:t>
      </w:r>
      <w:proofErr w:type="spellEnd"/>
      <w:r>
        <w:rPr>
          <w:rFonts w:ascii="Arial" w:hAnsi="Arial" w:cs="Arial"/>
          <w:i/>
          <w:sz w:val="28"/>
          <w:szCs w:val="28"/>
        </w:rPr>
        <w:t>”</w:t>
      </w:r>
      <w:r>
        <w:rPr>
          <w:rFonts w:ascii="Arial" w:hAnsi="Arial" w:cs="Arial"/>
          <w:sz w:val="28"/>
          <w:szCs w:val="28"/>
        </w:rPr>
        <w:t xml:space="preserve"> presente en los bonos su poder. El juez </w:t>
      </w:r>
      <w:proofErr w:type="spellStart"/>
      <w:r>
        <w:rPr>
          <w:rFonts w:ascii="Arial" w:hAnsi="Arial" w:cs="Arial"/>
          <w:sz w:val="28"/>
          <w:szCs w:val="28"/>
        </w:rPr>
        <w:t>Griesa</w:t>
      </w:r>
      <w:proofErr w:type="spellEnd"/>
      <w:r>
        <w:rPr>
          <w:rFonts w:ascii="Arial" w:hAnsi="Arial" w:cs="Arial"/>
          <w:sz w:val="28"/>
          <w:szCs w:val="28"/>
        </w:rPr>
        <w:t xml:space="preserve"> resolvió que la llamada ley “cerrojo”</w:t>
      </w:r>
      <w:r>
        <w:t xml:space="preserve"> </w:t>
      </w:r>
      <w:r>
        <w:rPr>
          <w:rFonts w:ascii="Arial" w:hAnsi="Arial" w:cs="Arial"/>
          <w:sz w:val="28"/>
          <w:szCs w:val="28"/>
        </w:rPr>
        <w:t xml:space="preserve">, ley 26.017 que impedía la reapertura del canje a los no adherentes  y los pagos a los acreedores que si habían entrado a la reestructuración,  implicaban la disminución del rango de los bonos de NML, por lo que Argentina se encontraba efectivamente violando la </w:t>
      </w:r>
      <w:r>
        <w:rPr>
          <w:rFonts w:ascii="Arial" w:hAnsi="Arial" w:cs="Arial"/>
          <w:i/>
          <w:sz w:val="28"/>
          <w:szCs w:val="28"/>
        </w:rPr>
        <w:t>“</w:t>
      </w:r>
      <w:proofErr w:type="spellStart"/>
      <w:r>
        <w:rPr>
          <w:rFonts w:ascii="Arial" w:hAnsi="Arial" w:cs="Arial"/>
          <w:i/>
          <w:sz w:val="28"/>
          <w:szCs w:val="28"/>
        </w:rPr>
        <w:t>Pari</w:t>
      </w:r>
      <w:proofErr w:type="spellEnd"/>
      <w:r>
        <w:rPr>
          <w:rFonts w:ascii="Arial" w:hAnsi="Arial" w:cs="Arial"/>
          <w:i/>
          <w:sz w:val="28"/>
          <w:szCs w:val="28"/>
        </w:rPr>
        <w:t xml:space="preserve"> </w:t>
      </w:r>
      <w:proofErr w:type="spellStart"/>
      <w:r>
        <w:rPr>
          <w:rFonts w:ascii="Arial" w:hAnsi="Arial" w:cs="Arial"/>
          <w:i/>
          <w:sz w:val="28"/>
          <w:szCs w:val="28"/>
        </w:rPr>
        <w:t>Passu</w:t>
      </w:r>
      <w:proofErr w:type="spellEnd"/>
      <w:r>
        <w:rPr>
          <w:rFonts w:ascii="Arial" w:hAnsi="Arial" w:cs="Arial"/>
          <w:i/>
          <w:sz w:val="28"/>
          <w:szCs w:val="28"/>
        </w:rPr>
        <w:t>”.</w:t>
      </w:r>
    </w:p>
    <w:p w:rsidR="00B25919" w:rsidRDefault="00B25919" w:rsidP="00B25919">
      <w:pPr>
        <w:spacing w:line="360" w:lineRule="auto"/>
        <w:jc w:val="both"/>
        <w:rPr>
          <w:rFonts w:ascii="Arial" w:hAnsi="Arial" w:cs="Arial"/>
          <w:i/>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Dentro del proceso el juez emitió una medida cautelar (</w:t>
      </w:r>
      <w:proofErr w:type="spellStart"/>
      <w:r>
        <w:rPr>
          <w:rFonts w:ascii="Arial" w:hAnsi="Arial" w:cs="Arial"/>
          <w:sz w:val="28"/>
          <w:szCs w:val="28"/>
        </w:rPr>
        <w:t>injunction</w:t>
      </w:r>
      <w:proofErr w:type="spellEnd"/>
      <w:r>
        <w:rPr>
          <w:rFonts w:ascii="Arial" w:hAnsi="Arial" w:cs="Arial"/>
          <w:sz w:val="28"/>
          <w:szCs w:val="28"/>
        </w:rPr>
        <w:t>)</w:t>
      </w:r>
      <w:r>
        <w:rPr>
          <w:rStyle w:val="Refdenotaalfinal"/>
          <w:rFonts w:ascii="Arial" w:eastAsia="Calibri" w:hAnsi="Arial" w:cs="Arial"/>
          <w:sz w:val="28"/>
          <w:szCs w:val="28"/>
        </w:rPr>
        <w:endnoteReference w:id="1"/>
      </w:r>
      <w:r>
        <w:rPr>
          <w:rFonts w:ascii="Arial" w:hAnsi="Arial" w:cs="Arial"/>
          <w:sz w:val="28"/>
          <w:szCs w:val="28"/>
        </w:rPr>
        <w:t xml:space="preserve"> que establecía el pago pro rata o proporcional a los demandantes toda vez que Argentina pagase a los tenedores de bonos de 2005 y 2010. La decisión fue apelada ante la Corte de Apelaciones del Segundo Circuito, que la confirmó y solicitó a </w:t>
      </w:r>
      <w:proofErr w:type="spellStart"/>
      <w:r>
        <w:rPr>
          <w:rFonts w:ascii="Arial" w:hAnsi="Arial" w:cs="Arial"/>
          <w:sz w:val="28"/>
          <w:szCs w:val="28"/>
        </w:rPr>
        <w:t>Griesa</w:t>
      </w:r>
      <w:proofErr w:type="spellEnd"/>
      <w:r>
        <w:rPr>
          <w:rFonts w:ascii="Arial" w:hAnsi="Arial" w:cs="Arial"/>
          <w:sz w:val="28"/>
          <w:szCs w:val="28"/>
        </w:rPr>
        <w:t xml:space="preserve"> la aclaración de la fórmula de pago. En una decisión desconcertante, el juez estableció que debía realizarse el pago del 100% a los litigantes junto al correspondiente a la deuda reestructurada, o de otra forma la República se vería impedida de atender cualquier servicio de aquella. Para esto, </w:t>
      </w:r>
      <w:proofErr w:type="spellStart"/>
      <w:r>
        <w:rPr>
          <w:rFonts w:ascii="Arial" w:hAnsi="Arial" w:cs="Arial"/>
          <w:sz w:val="28"/>
          <w:szCs w:val="28"/>
        </w:rPr>
        <w:t>Griesa</w:t>
      </w:r>
      <w:proofErr w:type="spellEnd"/>
      <w:r>
        <w:rPr>
          <w:rFonts w:ascii="Arial" w:hAnsi="Arial" w:cs="Arial"/>
          <w:sz w:val="28"/>
          <w:szCs w:val="28"/>
        </w:rPr>
        <w:t xml:space="preserve"> ordenó a los agentes intermediarios con sede en Nueva York que se abstuvieran de procesar y concretar los pagos, lo que bloqueó las posibilidades de la República de cumplir sus obligaciones. Aunque la Argentina apeló la decisión, ésta fue confirmada al año siguiente por la Corte de Apelaciones.</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Como último recurso legal, el gobierno argentino solicitó la intervención de la Corte Suprema de EE.UU., pero la abstención de este cuerpo dejó el fallo firme. Sin otras instancias de apelación y bloqueados los mecanismos para hacer efectivos los pagos, Argentina fue declarada en default selectivo.</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Frente a este panorama, se planteó la necesidad de esclarecer el significado y los alcances de la disposición contractual “</w:t>
      </w:r>
      <w:proofErr w:type="spellStart"/>
      <w:r>
        <w:rPr>
          <w:rFonts w:ascii="Arial" w:hAnsi="Arial" w:cs="Arial"/>
          <w:sz w:val="28"/>
          <w:szCs w:val="28"/>
        </w:rPr>
        <w:t>Pari</w:t>
      </w:r>
      <w:proofErr w:type="spellEnd"/>
      <w:r>
        <w:rPr>
          <w:rFonts w:ascii="Arial" w:hAnsi="Arial" w:cs="Arial"/>
          <w:sz w:val="28"/>
          <w:szCs w:val="28"/>
        </w:rPr>
        <w:t xml:space="preserve"> </w:t>
      </w:r>
      <w:proofErr w:type="spellStart"/>
      <w:r>
        <w:rPr>
          <w:rFonts w:ascii="Arial" w:hAnsi="Arial" w:cs="Arial"/>
          <w:sz w:val="28"/>
          <w:szCs w:val="28"/>
        </w:rPr>
        <w:t>Passu</w:t>
      </w:r>
      <w:proofErr w:type="spellEnd"/>
      <w:r>
        <w:rPr>
          <w:rFonts w:ascii="Arial" w:hAnsi="Arial" w:cs="Arial"/>
          <w:sz w:val="28"/>
          <w:szCs w:val="28"/>
        </w:rPr>
        <w:t>” para evitar mayores inconvenientes a futuro. Asimismo, se buscó encontrar una respuesta estructural a través del establecimiento de normas internacionales uniformes que regulen las reestructuraciones.</w:t>
      </w:r>
      <w:r>
        <w:t xml:space="preserve"> </w:t>
      </w:r>
      <w:r>
        <w:rPr>
          <w:rFonts w:ascii="Arial" w:hAnsi="Arial" w:cs="Arial"/>
          <w:sz w:val="28"/>
          <w:szCs w:val="28"/>
        </w:rPr>
        <w:t>Entre las iniciativas regionales se destacó el respaldo de organismos como el MERCOSUR, la UNASUR, la OEA y la CEPAL, entre otros. En plano internacional, con el apoyo del G77 más China se impulsó en la ONU la creación de un marco jurídico internacional para regular las reestructuraciones y limitar el accionar de los acreedores especulativos.</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 xml:space="preserve">En septiembre de 2014, por 124 votos a favor, 11 en contra y 41 abstenciones, la Asamblea General adoptó la resolución 68/304, que inició las negociaciones intergubernamentales para establecer un marco jurídico multilateral para los procesos de reestructuración que permitiera aumentar la estabilidad del sistema financiero internacional, en forma compatible con el crecimiento económico sostenido, inclusivo y equitativo y las prioridades nacionales (Asamblea General de la ONU, 2014b). </w:t>
      </w:r>
    </w:p>
    <w:p w:rsidR="00B25919" w:rsidRDefault="00B25919" w:rsidP="00B25919">
      <w:pPr>
        <w:spacing w:line="360" w:lineRule="auto"/>
        <w:jc w:val="both"/>
        <w:rPr>
          <w:rFonts w:ascii="Arial" w:hAnsi="Arial" w:cs="Arial"/>
          <w:sz w:val="28"/>
          <w:szCs w:val="28"/>
        </w:rPr>
      </w:pPr>
    </w:p>
    <w:p w:rsidR="00B25919" w:rsidRDefault="00B25919" w:rsidP="00B25919">
      <w:pPr>
        <w:spacing w:line="360" w:lineRule="auto"/>
        <w:jc w:val="both"/>
        <w:rPr>
          <w:rFonts w:ascii="Arial" w:hAnsi="Arial" w:cs="Arial"/>
          <w:sz w:val="28"/>
          <w:szCs w:val="28"/>
        </w:rPr>
      </w:pPr>
      <w:r>
        <w:rPr>
          <w:rFonts w:ascii="Arial" w:hAnsi="Arial" w:cs="Arial"/>
          <w:sz w:val="28"/>
          <w:szCs w:val="28"/>
        </w:rPr>
        <w:t xml:space="preserve">Pocos meses después se creó un Comité Ad Hoc para elaborar una propuesta. Este se reunió en tres oportunidades y contó con la participación de diversos países, especialistas y </w:t>
      </w:r>
      <w:proofErr w:type="spellStart"/>
      <w:r>
        <w:rPr>
          <w:rFonts w:ascii="Arial" w:hAnsi="Arial" w:cs="Arial"/>
          <w:sz w:val="28"/>
          <w:szCs w:val="28"/>
        </w:rPr>
        <w:t>ONGs</w:t>
      </w:r>
      <w:proofErr w:type="spellEnd"/>
      <w:r>
        <w:rPr>
          <w:rFonts w:ascii="Arial" w:hAnsi="Arial" w:cs="Arial"/>
          <w:sz w:val="28"/>
          <w:szCs w:val="28"/>
        </w:rPr>
        <w:t>. Finalmente, en septiembre de 2015, la Asamblea adoptó mediante la Resolución 69/319 los nueve principios básicos elaborados por el Comité para guiar las reestructuraciones de deuda soberana: 1) Soberanía; 2) Buena fe; 3) Transparencia; 4) Imparcialidad; 5) Trato equitativo; 6) Inmunidad soberana de jurisdicción y ejecución; 7) Legitimidad; 8) Sustentabilidad y 9) Acuerdo por mayoría.</w:t>
      </w:r>
    </w:p>
    <w:p w:rsidR="00B25919" w:rsidRDefault="00B25919" w:rsidP="00B25919">
      <w:pPr>
        <w:spacing w:line="360" w:lineRule="auto"/>
        <w:jc w:val="both"/>
        <w:rPr>
          <w:rFonts w:ascii="Arial" w:hAnsi="Arial" w:cs="Arial"/>
          <w:sz w:val="28"/>
          <w:szCs w:val="28"/>
        </w:rPr>
      </w:pPr>
      <w:bookmarkStart w:id="0" w:name="_GoBack"/>
      <w:bookmarkEnd w:id="0"/>
    </w:p>
    <w:p w:rsidR="00B25919" w:rsidRDefault="00B25919" w:rsidP="00B25919">
      <w:pPr>
        <w:rPr>
          <w:rFonts w:ascii="Times New Roman" w:hAnsi="Times New Roman" w:cs="Times New Roman"/>
          <w:sz w:val="24"/>
          <w:szCs w:val="24"/>
        </w:rPr>
      </w:pPr>
    </w:p>
    <w:p w:rsidR="002C0356" w:rsidRPr="00B25919" w:rsidRDefault="002C0356" w:rsidP="00B25919"/>
    <w:sectPr w:rsidR="002C0356" w:rsidRPr="00B25919" w:rsidSect="00B25919">
      <w:type w:val="continuous"/>
      <w:pgSz w:w="11920" w:h="16840"/>
      <w:pgMar w:top="1360" w:right="1340" w:bottom="993"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B33" w:rsidRDefault="00842B33" w:rsidP="00B25919">
      <w:r>
        <w:separator/>
      </w:r>
    </w:p>
  </w:endnote>
  <w:endnote w:type="continuationSeparator" w:id="0">
    <w:p w:rsidR="00842B33" w:rsidRDefault="00842B33" w:rsidP="00B25919">
      <w:r>
        <w:continuationSeparator/>
      </w:r>
    </w:p>
  </w:endnote>
  <w:endnote w:id="1">
    <w:p w:rsidR="00B25919" w:rsidRDefault="00B25919" w:rsidP="00B25919">
      <w:pPr>
        <w:pStyle w:val="Textonotaalfinal"/>
        <w:jc w:val="both"/>
        <w:rPr>
          <w:lang w:val="es-ES"/>
        </w:rPr>
      </w:pPr>
      <w:r>
        <w:rPr>
          <w:rStyle w:val="Refdenotaalfinal"/>
        </w:rPr>
        <w:endnoteRef/>
      </w:r>
      <w:r>
        <w:t xml:space="preserve"> - Puede definirse a una </w:t>
      </w:r>
      <w:proofErr w:type="spellStart"/>
      <w:r>
        <w:t>injunction</w:t>
      </w:r>
      <w:proofErr w:type="spellEnd"/>
      <w:r>
        <w:t xml:space="preserve"> como “una orden de un tribunal, históricamente un remedio de equidad, que disuade a una persona de efectuar un acto específico, y en ciertos casos excepcionales requieren que lleve a cabo una actuación concreta” (Marín González, 2003)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B33" w:rsidRDefault="00842B33" w:rsidP="00B25919">
      <w:r>
        <w:separator/>
      </w:r>
    </w:p>
  </w:footnote>
  <w:footnote w:type="continuationSeparator" w:id="0">
    <w:p w:rsidR="00842B33" w:rsidRDefault="00842B33" w:rsidP="00B25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56"/>
    <w:rsid w:val="0019618E"/>
    <w:rsid w:val="00293F25"/>
    <w:rsid w:val="002C0356"/>
    <w:rsid w:val="002F6537"/>
    <w:rsid w:val="007E7DF8"/>
    <w:rsid w:val="00842B33"/>
    <w:rsid w:val="00A00D76"/>
    <w:rsid w:val="00A654D1"/>
    <w:rsid w:val="00B25919"/>
    <w:rsid w:val="00CE0B38"/>
    <w:rsid w:val="00CF4A07"/>
    <w:rsid w:val="00FF6C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F2AE4-A66B-449A-84C1-97C8F58A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notaalfinal">
    <w:name w:val="endnote text"/>
    <w:basedOn w:val="Normal"/>
    <w:link w:val="TextonotaalfinalCar"/>
    <w:uiPriority w:val="99"/>
    <w:semiHidden/>
    <w:unhideWhenUsed/>
    <w:rsid w:val="00B25919"/>
    <w:pPr>
      <w:widowControl/>
      <w:autoSpaceDE/>
      <w:autoSpaceDN/>
    </w:pPr>
    <w:rPr>
      <w:rFonts w:ascii="Calibri" w:eastAsia="Calibri" w:hAnsi="Calibri" w:cs="Times New Roman"/>
      <w:sz w:val="20"/>
      <w:szCs w:val="20"/>
      <w:lang w:val="es-AR"/>
    </w:rPr>
  </w:style>
  <w:style w:type="character" w:customStyle="1" w:styleId="TextonotaalfinalCar">
    <w:name w:val="Texto nota al final Car"/>
    <w:basedOn w:val="Fuentedeprrafopredeter"/>
    <w:link w:val="Textonotaalfinal"/>
    <w:uiPriority w:val="99"/>
    <w:semiHidden/>
    <w:rsid w:val="00B25919"/>
    <w:rPr>
      <w:rFonts w:ascii="Calibri" w:eastAsia="Calibri" w:hAnsi="Calibri" w:cs="Times New Roman"/>
      <w:sz w:val="20"/>
      <w:szCs w:val="20"/>
      <w:lang w:val="es-AR"/>
    </w:rPr>
  </w:style>
  <w:style w:type="character" w:styleId="Refdenotaalfinal">
    <w:name w:val="endnote reference"/>
    <w:uiPriority w:val="99"/>
    <w:semiHidden/>
    <w:unhideWhenUsed/>
    <w:rsid w:val="00B259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476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1214</Words>
  <Characters>6678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CINTIA KAMBEROVICH</vt:lpstr>
    </vt:vector>
  </TitlesOfParts>
  <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CINTIA KAMBEROVICH</dc:title>
  <dc:creator>Cintia Daniela Kamberovich</dc:creator>
  <cp:lastModifiedBy>Cuenta Microsoft</cp:lastModifiedBy>
  <cp:revision>6</cp:revision>
  <dcterms:created xsi:type="dcterms:W3CDTF">2024-11-27T17:40:00Z</dcterms:created>
  <dcterms:modified xsi:type="dcterms:W3CDTF">2024-11-29T22:18:00Z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m129 Google Docs Renderer</vt:lpwstr>
  </property>
</Properties>
</file>